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7548" w14:textId="77777777" w:rsidR="00383C94" w:rsidRDefault="00383C94" w:rsidP="00383C94">
      <w:pPr>
        <w:widowControl w:val="0"/>
        <w:autoSpaceDE w:val="0"/>
        <w:autoSpaceDN w:val="0"/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  <w:r w:rsidRPr="00383C94">
        <w:rPr>
          <w:rFonts w:eastAsiaTheme="minorEastAsia"/>
          <w:b/>
          <w:bCs/>
          <w:kern w:val="2"/>
          <w:sz w:val="24"/>
          <w:szCs w:val="24"/>
          <w14:ligatures w14:val="standardContextual"/>
        </w:rPr>
        <w:t>Инвестиционное предложение</w:t>
      </w:r>
    </w:p>
    <w:p w14:paraId="36FF7B10" w14:textId="77777777" w:rsidR="00761068" w:rsidRPr="00383C94" w:rsidRDefault="00761068" w:rsidP="00383C94">
      <w:pPr>
        <w:widowControl w:val="0"/>
        <w:autoSpaceDE w:val="0"/>
        <w:autoSpaceDN w:val="0"/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2184"/>
        <w:gridCol w:w="2329"/>
        <w:gridCol w:w="2211"/>
      </w:tblGrid>
      <w:tr w:rsidR="00383C94" w:rsidRPr="00383C94" w14:paraId="39127596" w14:textId="77777777" w:rsidTr="00C84267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5FCC3B79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0" w:name="P1826"/>
            <w:bookmarkEnd w:id="0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Основные характеристики инвестиционного проекта</w:t>
            </w:r>
          </w:p>
        </w:tc>
      </w:tr>
      <w:tr w:rsidR="00383C94" w:rsidRPr="00383C94" w14:paraId="4809CEC8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435D329" w14:textId="514B652B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Наименование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6FF2934C" w14:textId="51BBD473" w:rsidR="00383C94" w:rsidRPr="00440824" w:rsidRDefault="00440824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Строительство кафе</w:t>
            </w:r>
          </w:p>
        </w:tc>
      </w:tr>
      <w:tr w:rsidR="00383C94" w:rsidRPr="00383C94" w14:paraId="7D0D4C68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B4EB861" w14:textId="4B126606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Субъект Российской Федерации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56044664" w14:textId="01E53D53" w:rsidR="00383C94" w:rsidRPr="008B4DBA" w:rsidRDefault="008B4DBA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B4DBA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область</w:t>
            </w:r>
          </w:p>
        </w:tc>
      </w:tr>
      <w:tr w:rsidR="00383C94" w:rsidRPr="00383C94" w14:paraId="42EC9EBF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2392912" w14:textId="36CDF33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6C2580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Цель инвестиционного проекта</w:t>
            </w:r>
            <w:r w:rsidR="008B47C3" w:rsidRPr="006C2580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3AF65B0D" w14:textId="74030DF3" w:rsidR="00E44E8A" w:rsidRPr="00CA0D69" w:rsidRDefault="00E44E8A" w:rsidP="00E44E8A">
            <w:pPr>
              <w:widowControl w:val="0"/>
              <w:autoSpaceDE w:val="0"/>
              <w:autoSpaceDN w:val="0"/>
              <w:rPr>
                <w:rFonts w:eastAsiaTheme="minorEastAsi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Целью инвестиционного проекта является создание привлекательного и комфортного кафе, обеспечивающего качественное питание и высокий уровень сервиса для посетителей.</w:t>
            </w:r>
          </w:p>
          <w:p w14:paraId="323EE24E" w14:textId="35E6D841" w:rsidR="00E44E8A" w:rsidRPr="00CA0D69" w:rsidRDefault="00E44E8A" w:rsidP="00E44E8A">
            <w:pPr>
              <w:widowControl w:val="0"/>
              <w:autoSpaceDE w:val="0"/>
              <w:autoSpaceDN w:val="0"/>
              <w:rPr>
                <w:rFonts w:eastAsiaTheme="minorEastAsi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Ключевая задача проекта — формирование современной точки общественного питания, способствующей развитию туристического потенциала территории, улучшению социальной среды и повышению привлекательности региона для проживания и посещения.</w:t>
            </w:r>
          </w:p>
          <w:p w14:paraId="65E9519B" w14:textId="271B0A69" w:rsidR="00383C94" w:rsidRPr="00CA0D69" w:rsidRDefault="00E44E8A" w:rsidP="00440824">
            <w:pPr>
              <w:widowControl w:val="0"/>
              <w:autoSpaceDE w:val="0"/>
              <w:autoSpaceDN w:val="0"/>
              <w:rPr>
                <w:rFonts w:eastAsiaTheme="minorEastAsi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Создание нового объекта позволит повысить занятость населения, привлечь дополнительные потоки туристов и внести вклад в экономическое развитие муниципалитета.</w:t>
            </w:r>
          </w:p>
        </w:tc>
      </w:tr>
      <w:tr w:rsidR="00383C94" w:rsidRPr="00383C94" w14:paraId="79342DDE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A92E466" w14:textId="1337F520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6C2580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Краткое описание инвестиционного проекта</w:t>
            </w:r>
            <w:r w:rsidR="008B47C3" w:rsidRPr="006C2580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461C5838" w14:textId="57B63B86" w:rsidR="002A484E" w:rsidRPr="00CA0D69" w:rsidRDefault="002A484E" w:rsidP="002A484E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Создание уютного кафе в посёлке Новая Деревня Путятинского муниципального округа. Концепция заведения включает просторную внутреннюю зону и летнюю веранду, ориентированную на широкий круг потребителей: местных жителей, сотрудников окрестных предприятий и транзитных путешественников.</w:t>
            </w:r>
          </w:p>
          <w:p w14:paraId="48712506" w14:textId="77777777" w:rsidR="002A484E" w:rsidRPr="00CA0D69" w:rsidRDefault="002A484E" w:rsidP="002A484E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  <w:p w14:paraId="4050DCD2" w14:textId="7D295351" w:rsidR="00383C94" w:rsidRPr="00CA0D69" w:rsidRDefault="002A484E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Преимущества расположения посёлка включают стабильно растущий спрос среди постоянных жителей,</w:t>
            </w:r>
            <w:r w:rsidR="00C8426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перспективный автомобильный поток и низкий уровень конкуренции в сфере общепита. Реализация проекта обеспечит комфортные условия для качественного отдыха и приёма пищи, повысит привлекательность населённого пункта и создаст новые рабочие места.</w:t>
            </w:r>
          </w:p>
        </w:tc>
      </w:tr>
      <w:tr w:rsidR="00440824" w:rsidRPr="00383C94" w14:paraId="7A421E1D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1D085B9" w14:textId="64C37A67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Отрасль экономики, в которой планируется реализация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17A6EF96" w14:textId="04873E98" w:rsidR="00440824" w:rsidRPr="00DB3811" w:rsidRDefault="00DB3811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Общественное питание (деятельность кафе/ресторанов)</w:t>
            </w:r>
          </w:p>
        </w:tc>
      </w:tr>
      <w:tr w:rsidR="00440824" w:rsidRPr="00383C94" w14:paraId="3999BF31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58A2975" w14:textId="00FD05F4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Срок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реализации инвестиционного проект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(мес.) *</w:t>
            </w:r>
          </w:p>
        </w:tc>
        <w:tc>
          <w:tcPr>
            <w:tcW w:w="4540" w:type="dxa"/>
            <w:gridSpan w:val="2"/>
            <w:vAlign w:val="center"/>
          </w:tcPr>
          <w:p w14:paraId="30654F23" w14:textId="63C1D135" w:rsidR="00440824" w:rsidRPr="00383C94" w:rsidRDefault="00DB3811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12-24</w:t>
            </w:r>
          </w:p>
        </w:tc>
      </w:tr>
      <w:tr w:rsidR="00440824" w:rsidRPr="00383C94" w14:paraId="7E837BF4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363054F" w14:textId="1B465755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Этапы реализации инвестиционного проекта</w:t>
            </w:r>
            <w:r w:rsidRPr="008B47C3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2138E904" w14:textId="77777777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Приобретение прав на земельный участок.</w:t>
            </w:r>
          </w:p>
          <w:p w14:paraId="1F500E7B" w14:textId="77777777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Разработка проектной документации и согласование.</w:t>
            </w:r>
          </w:p>
          <w:p w14:paraId="5D4837DC" w14:textId="77777777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Строительство здания и подключение коммуникаций.</w:t>
            </w:r>
          </w:p>
          <w:p w14:paraId="3693CF16" w14:textId="77777777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Закупка и монтаж оборудования, отделка.</w:t>
            </w:r>
          </w:p>
          <w:p w14:paraId="5F7C4280" w14:textId="77777777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Набор и обучение персонала.</w:t>
            </w:r>
          </w:p>
          <w:p w14:paraId="3D101B97" w14:textId="77777777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Маркетинговая кампания и открытие кафе.</w:t>
            </w:r>
          </w:p>
          <w:p w14:paraId="68CF9491" w14:textId="2DFF49B2" w:rsidR="00440824" w:rsidRPr="008B47C3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Выход на плановые показатели работы.</w:t>
            </w:r>
          </w:p>
        </w:tc>
      </w:tr>
      <w:tr w:rsidR="00440824" w:rsidRPr="00383C94" w14:paraId="6B0F73EA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A488D98" w14:textId="2CB27A4A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BC04D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Территория реализации инвестиционного проекта (адрес)*</w:t>
            </w:r>
          </w:p>
        </w:tc>
        <w:tc>
          <w:tcPr>
            <w:tcW w:w="4540" w:type="dxa"/>
            <w:gridSpan w:val="2"/>
            <w:vAlign w:val="center"/>
          </w:tcPr>
          <w:p w14:paraId="2C6CF568" w14:textId="3B9FC5F3" w:rsidR="00440824" w:rsidRPr="00383C94" w:rsidRDefault="00BC04D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область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,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2672D"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Путятинский </w:t>
            </w:r>
            <w:r w:rsidR="0082672D" w:rsidRPr="00C8426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муниципальный</w:t>
            </w:r>
            <w:r w:rsidR="00C8426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округ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,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посёлок Новая Деревня</w:t>
            </w:r>
          </w:p>
        </w:tc>
      </w:tr>
      <w:tr w:rsidR="00440824" w:rsidRPr="00383C94" w14:paraId="55A72F5E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ADECFBE" w14:textId="6FCD002B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Планируемая к выпуску продукция/к оказанию услуга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45BDC546" w14:textId="76D58B7B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−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</w:t>
            </w: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сновные блюда и закуски (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русская/</w:t>
            </w: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европейская кухня)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1C45F083" w14:textId="465A1BB3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−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</w:t>
            </w: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есерты и выпечка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4228A283" w14:textId="4485BD0B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−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б</w:t>
            </w: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езалкогольные и алкогольные напитки и кофейная карта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18AA2341" w14:textId="7B79C275" w:rsidR="00DB3811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−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</w:t>
            </w: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пециальные предложения: комплексные обеды, сезонные позиции,</w:t>
            </w:r>
            <w:r w:rsid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детское меню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60D4900D" w14:textId="694D5EE7" w:rsidR="00440824" w:rsidRPr="00DB3811" w:rsidRDefault="00DB3811" w:rsidP="00DB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−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</w:t>
            </w: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казание услуг общественного питания при проведении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и организации </w:t>
            </w:r>
            <w:r w:rsidRPr="00DB381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банкетов, фуршетов и иных мероприятий.</w:t>
            </w:r>
          </w:p>
        </w:tc>
      </w:tr>
      <w:tr w:rsidR="00440824" w:rsidRPr="00383C94" w14:paraId="23F3B9E1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9D11187" w14:textId="77777777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Тип инвестиционного проекта</w:t>
            </w:r>
          </w:p>
          <w:p w14:paraId="349A1C7E" w14:textId="5C572021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строительство, модернизация, реконструкция, создание РИД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40" w:type="dxa"/>
            <w:gridSpan w:val="2"/>
            <w:vAlign w:val="center"/>
          </w:tcPr>
          <w:p w14:paraId="1743ED4F" w14:textId="5CDDF1E3" w:rsidR="00440824" w:rsidRPr="00DB3811" w:rsidRDefault="00DB3811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Строительство</w:t>
            </w:r>
          </w:p>
        </w:tc>
      </w:tr>
      <w:tr w:rsidR="00440824" w:rsidRPr="00383C94" w14:paraId="62D480EA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82EBFD5" w14:textId="18945DBD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Предполагаемые сроки получения исходно-разрешительной документации, необходимой для реализации инвестиционного проекта (дней) </w:t>
            </w:r>
          </w:p>
        </w:tc>
        <w:tc>
          <w:tcPr>
            <w:tcW w:w="4540" w:type="dxa"/>
            <w:gridSpan w:val="2"/>
            <w:vAlign w:val="center"/>
          </w:tcPr>
          <w:p w14:paraId="14823914" w14:textId="110FE7F3" w:rsidR="00440824" w:rsidRPr="00DD2AAA" w:rsidRDefault="00DD2AAA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30-180</w:t>
            </w:r>
          </w:p>
        </w:tc>
      </w:tr>
      <w:tr w:rsidR="00440824" w:rsidRPr="00383C94" w14:paraId="7322F670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D628A3F" w14:textId="268C6E4E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Стадия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185E4252" w14:textId="5F477AC8" w:rsidR="00440824" w:rsidRPr="008B47C3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Предынвестиционная</w:t>
            </w:r>
          </w:p>
        </w:tc>
      </w:tr>
      <w:tr w:rsidR="00440824" w:rsidRPr="00383C94" w14:paraId="3FD09D92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F551ECD" w14:textId="2DFA3EDF" w:rsidR="00440824" w:rsidRPr="00DD2AAA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6C2580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Объемы потребления произведенной продукции в денежном эквиваленте внутри региона (млрд руб. в год)</w:t>
            </w:r>
            <w:r w:rsidRPr="006C2580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40" w:type="dxa"/>
            <w:gridSpan w:val="2"/>
          </w:tcPr>
          <w:p w14:paraId="39D9E993" w14:textId="77777777" w:rsidR="00642E5E" w:rsidRPr="00642E5E" w:rsidRDefault="00642E5E" w:rsidP="00642E5E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42E5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В 2025 году оборот общественного питания в Рязанской области составил </w:t>
            </w:r>
          </w:p>
          <w:p w14:paraId="1F8B588B" w14:textId="4061A4E6" w:rsidR="00440824" w:rsidRPr="008B47C3" w:rsidRDefault="00642E5E" w:rsidP="00642E5E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42E5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16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,</w:t>
            </w:r>
            <w:r w:rsidRPr="00642E5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7654 м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лрд</w:t>
            </w:r>
            <w:r w:rsidRPr="00642E5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рублей, что на 1,8% больше, чем в 2024 году в сопоставимых ценах. (</w:t>
            </w:r>
            <w:proofErr w:type="spellStart"/>
            <w:r w:rsidR="006C2580" w:rsidRPr="00642E5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="006C2580" w:rsidRPr="00642E5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440824" w:rsidRPr="00383C94" w14:paraId="082B061A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50613BB" w14:textId="0BB2E3AB" w:rsidR="00440824" w:rsidRPr="00DD2AAA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6C2580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Объемы потребления произведенной продукции в денежном эквиваленте за пределами региона (млрд руб. в год)</w:t>
            </w:r>
            <w:r w:rsidRPr="006C2580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40" w:type="dxa"/>
            <w:gridSpan w:val="2"/>
          </w:tcPr>
          <w:p w14:paraId="352FDC81" w14:textId="14110E3D" w:rsidR="00440824" w:rsidRPr="008B47C3" w:rsidRDefault="002E5F00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В 2025 году суммарная выручка российских предприятий общественного питания (компаний, осуществляющих деятельность по предоставлению продуктов питания и напитков) составила 2 660 млрд рублей. Это на 14,1% больше по сравнению с предыдущим годом, когда показатель находился на </w:t>
            </w: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 xml:space="preserve">уровне 2 330 млрд рублей. Такие данные содержатся в материалах Росстата, с которыми </w:t>
            </w:r>
            <w:proofErr w:type="spellStart"/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TAdviser</w:t>
            </w:r>
            <w:proofErr w:type="spellEnd"/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ознакомился в начале апреля 2026 года</w:t>
            </w:r>
          </w:p>
        </w:tc>
      </w:tr>
      <w:tr w:rsidR="00440824" w:rsidRPr="00383C94" w14:paraId="3635038F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139B20C" w14:textId="210D5037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Возможность масштабирования и (или) фрагментации производства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5D703F30" w14:textId="6A3FDCB7" w:rsidR="00440824" w:rsidRPr="00DD2AAA" w:rsidRDefault="00440824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Предусмотрена возможность масштабирования</w:t>
            </w:r>
          </w:p>
        </w:tc>
      </w:tr>
      <w:tr w:rsidR="00440824" w:rsidRPr="00383C94" w14:paraId="208B5493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AD646BD" w14:textId="16CB1039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Описание характеристик создаваемых или реконструируемых объектов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66254AC6" w14:textId="77777777" w:rsidR="00DD2AAA" w:rsidRPr="00CA0D69" w:rsidRDefault="00DD2AAA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Новое строительство:</w:t>
            </w:r>
          </w:p>
          <w:p w14:paraId="5DAA0F51" w14:textId="75C131A1" w:rsidR="00DD2AAA" w:rsidRPr="00CA0D69" w:rsidRDefault="00DD2AAA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− основной зал (гостевая зона): 70 м²</w:t>
            </w:r>
          </w:p>
          <w:p w14:paraId="1DB21B6C" w14:textId="38E96120" w:rsidR="00DD2AAA" w:rsidRPr="00CA0D69" w:rsidRDefault="00C84267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−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D2AAA"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летняя веранда (открытая, сезонная): 40 м²</w:t>
            </w:r>
          </w:p>
          <w:p w14:paraId="57D0CB40" w14:textId="534C48AD" w:rsidR="00DD2AAA" w:rsidRPr="00CA0D69" w:rsidRDefault="00DD2AAA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− кухонно-производственные помещения: </w:t>
            </w:r>
            <w:r w:rsidR="00BC04D3"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3</w:t>
            </w: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0 м²</w:t>
            </w:r>
          </w:p>
          <w:p w14:paraId="00122DC5" w14:textId="45B2DA62" w:rsidR="00DD2AAA" w:rsidRPr="00CA0D69" w:rsidRDefault="00DD2AAA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− зона бара/кофе-стойки: 10 м²</w:t>
            </w:r>
          </w:p>
          <w:p w14:paraId="54729809" w14:textId="76FE76C2" w:rsidR="00DD2AAA" w:rsidRPr="00CA0D69" w:rsidRDefault="00DD2AAA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− зона санитарно-бытовая (WC, умывальни): 12 м²</w:t>
            </w:r>
          </w:p>
          <w:p w14:paraId="4B3F7753" w14:textId="0E7F83E4" w:rsidR="00DD2AAA" w:rsidRPr="00CA0D69" w:rsidRDefault="00DD2AAA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− подсобные/технические помещения: 8 м²</w:t>
            </w:r>
          </w:p>
          <w:p w14:paraId="5CD17B66" w14:textId="2D22FFC7" w:rsidR="00DD2AAA" w:rsidRPr="00CA0D69" w:rsidRDefault="00DD2AAA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− коридоры, тамбур, гардероб, тех. зоны: </w:t>
            </w:r>
            <w:r w:rsidR="00BC04D3"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</w:t>
            </w: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0 м²</w:t>
            </w:r>
          </w:p>
          <w:p w14:paraId="549CF2B6" w14:textId="77777777" w:rsidR="00440824" w:rsidRPr="00CA0D69" w:rsidRDefault="00DD2AAA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− количество посадочных мест в кафе: 40</w:t>
            </w:r>
          </w:p>
          <w:p w14:paraId="79648691" w14:textId="710B8D8E" w:rsidR="00BC04D3" w:rsidRPr="00DD2AAA" w:rsidRDefault="00BC04D3" w:rsidP="00DD2AA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− количество посадочных мест на летней веранде: 20</w:t>
            </w:r>
          </w:p>
        </w:tc>
      </w:tr>
      <w:tr w:rsidR="00440824" w:rsidRPr="00383C94" w14:paraId="2C95871B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FAA9FCB" w14:textId="1648C3CF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Стоимость реализации проекта </w:t>
            </w:r>
            <w:r w:rsidRP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(млн руб.) 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7FC11026" w14:textId="334C4536" w:rsidR="00440824" w:rsidRPr="00383C94" w:rsidRDefault="00DD2AAA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5-7</w:t>
            </w:r>
          </w:p>
        </w:tc>
      </w:tr>
      <w:tr w:rsidR="00440824" w:rsidRPr="00383C94" w14:paraId="1D5127B4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FE16EC1" w14:textId="6C926BC6" w:rsidR="0044082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6106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Удаленность от автомобильной дороги (метров)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2A041E29" w14:textId="77777777" w:rsidR="00440824" w:rsidRDefault="00BC04D3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300</w:t>
            </w:r>
          </w:p>
          <w:p w14:paraId="566289E6" w14:textId="3991A526" w:rsidR="00BC04D3" w:rsidRPr="00383C94" w:rsidRDefault="00BC04D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Трасса М-5 «Урал»</w:t>
            </w:r>
          </w:p>
        </w:tc>
      </w:tr>
      <w:tr w:rsidR="00440824" w:rsidRPr="00383C94" w14:paraId="697A204C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BAEBDEE" w14:textId="1F5FABD7" w:rsidR="00440824" w:rsidRPr="00761068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обременений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40" w:type="dxa"/>
            <w:gridSpan w:val="2"/>
            <w:vAlign w:val="center"/>
          </w:tcPr>
          <w:p w14:paraId="19B90178" w14:textId="018C1DAD" w:rsidR="00440824" w:rsidRPr="00CA0D69" w:rsidRDefault="00440824" w:rsidP="00CA0D6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</w:tc>
      </w:tr>
      <w:tr w:rsidR="00440824" w:rsidRPr="00383C94" w14:paraId="380CEA2A" w14:textId="77777777" w:rsidTr="00C84267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1C385476" w14:textId="77777777" w:rsidR="00440824" w:rsidRPr="00383C94" w:rsidRDefault="00440824" w:rsidP="0044082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1" w:name="P1856"/>
            <w:bookmarkEnd w:id="1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Анализ экономической отрасли инвестиционного проекта и маркетинг</w:t>
            </w:r>
          </w:p>
        </w:tc>
      </w:tr>
      <w:tr w:rsidR="00440824" w:rsidRPr="00383C94" w14:paraId="251E75A9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280290B" w14:textId="5BDE8851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Краткое описание рынка сбыта планируемой к выпуску продукции/к оказанию услуги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390AD6B0" w14:textId="4309D53D" w:rsidR="00BC04D3" w:rsidRPr="00BC04D3" w:rsidRDefault="00BC04D3" w:rsidP="00BC04D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местные жители (семейные обеды, встречи, кофе‑брейки);</w:t>
            </w:r>
          </w:p>
          <w:p w14:paraId="3B3E630C" w14:textId="201DAC81" w:rsidR="00BC04D3" w:rsidRPr="00BC04D3" w:rsidRDefault="00BC04D3" w:rsidP="00BC04D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проезжающие (быстрые закуски, кофе навынос, обед в дороге);</w:t>
            </w:r>
          </w:p>
          <w:p w14:paraId="0BE401CA" w14:textId="5BFF5828" w:rsidR="00BC04D3" w:rsidRPr="00BC04D3" w:rsidRDefault="00BC04D3" w:rsidP="00BC04D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туристы и гости</w:t>
            </w:r>
            <w:r w:rsidR="00C8426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округа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(полноценный обед, местные блюда);</w:t>
            </w:r>
          </w:p>
          <w:p w14:paraId="69B37864" w14:textId="6EFC2EBB" w:rsidR="00440824" w:rsidRPr="00383C94" w:rsidRDefault="00BC04D3" w:rsidP="00BC04D3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корпоративные клиенты (кейтеринг для мероприятий, бизнес‑ланчи для</w:t>
            </w:r>
            <w:r w:rsidR="00C8426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C04D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организаций)</w:t>
            </w:r>
          </w:p>
        </w:tc>
      </w:tr>
      <w:tr w:rsidR="00440824" w:rsidRPr="00383C94" w14:paraId="19C3A9C4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633ADB4" w14:textId="40E130AA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Потенциальные потребители планируемой к выпуску продукции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 оказанию услуги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 *</w:t>
            </w:r>
          </w:p>
        </w:tc>
        <w:tc>
          <w:tcPr>
            <w:tcW w:w="4540" w:type="dxa"/>
            <w:gridSpan w:val="2"/>
            <w:vAlign w:val="center"/>
          </w:tcPr>
          <w:p w14:paraId="47A1B156" w14:textId="77777777" w:rsidR="00C31EA6" w:rsidRPr="00C31EA6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31E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Целевая аудитория:</w:t>
            </w:r>
          </w:p>
          <w:p w14:paraId="7D3BCE13" w14:textId="0CC1C154" w:rsidR="00C31EA6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местные жители (семья с детьми, молодежь, пенсионеры);</w:t>
            </w:r>
          </w:p>
          <w:p w14:paraId="4E34E635" w14:textId="729E888A" w:rsidR="00C31EA6" w:rsidRPr="00C31EA6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т</w:t>
            </w:r>
            <w:r w:rsidRPr="00C31E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ранзитные автомобилисты и дальнобойщики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5E706169" w14:textId="484CDA8D" w:rsidR="00C31EA6" w:rsidRPr="00C31EA6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т</w:t>
            </w:r>
            <w:r w:rsidRPr="00C31E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уристы и путешественники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279BA989" w14:textId="34493716" w:rsidR="00440824" w:rsidRPr="00383C94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к</w:t>
            </w:r>
            <w:r w:rsidRPr="00C31E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орпоративные клиенты (местные предприятия, сельхозорганизации, фермерские хозяйства)</w:t>
            </w:r>
          </w:p>
        </w:tc>
      </w:tr>
      <w:tr w:rsidR="00440824" w:rsidRPr="00383C94" w14:paraId="56F95E95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2547223" w14:textId="4202A681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6C2580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Объемы производства аналогичной продукции (услуги)*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40" w:type="dxa"/>
            <w:gridSpan w:val="2"/>
            <w:vAlign w:val="center"/>
          </w:tcPr>
          <w:p w14:paraId="7CAB6973" w14:textId="77D310DE" w:rsidR="00440824" w:rsidRPr="006C2580" w:rsidRDefault="00E665C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Согласно проведённому налоговыми органами мониторингу на территории Рязанской области осуществляют деятельность около 1200 объектов общественного питания. Из них 84 ресторана, 464 кафе, 102 бара и 186 предприятий быстрого обслуживания</w:t>
            </w:r>
          </w:p>
        </w:tc>
      </w:tr>
      <w:tr w:rsidR="00440824" w:rsidRPr="00383C94" w14:paraId="64982E72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7AE69FF" w14:textId="33CB487A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7230D537" w14:textId="77777777" w:rsidR="0082672D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Кооперация формируется для надежного снабжения сырьем, сокращения расходов на перевозку, повышения эффективности работы в разные сезоны и включения в местную туристическую сеть. </w:t>
            </w:r>
          </w:p>
          <w:p w14:paraId="20218608" w14:textId="4D7DE7C2" w:rsidR="00C31EA6" w:rsidRPr="00CA0D69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Ключевые принципы:</w:t>
            </w:r>
          </w:p>
          <w:p w14:paraId="411FA6AA" w14:textId="51CFE2F7" w:rsidR="00C31EA6" w:rsidRPr="00CA0D69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использование местной фермерской продукции,</w:t>
            </w:r>
          </w:p>
          <w:p w14:paraId="7649A5B7" w14:textId="76BB41D1" w:rsidR="00C31EA6" w:rsidRPr="00CA0D69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создание запасных каналов поставки,</w:t>
            </w:r>
          </w:p>
          <w:p w14:paraId="02675525" w14:textId="408D9445" w:rsidR="00C31EA6" w:rsidRPr="00CA0D69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цифровизация процессов продажи и обслуживания,</w:t>
            </w:r>
          </w:p>
          <w:p w14:paraId="39253CBF" w14:textId="773B1898" w:rsidR="00440824" w:rsidRPr="005B0342" w:rsidRDefault="00C31EA6" w:rsidP="00C31EA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совместное продвижение вместе с туристической инфраструктурой района</w:t>
            </w:r>
          </w:p>
        </w:tc>
      </w:tr>
      <w:tr w:rsidR="00440824" w:rsidRPr="00383C94" w14:paraId="1F6AA818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D3ABB0F" w14:textId="25EA89E0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Оценка экспортного потенциала планируемой к выпуску продукции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 оказанию услуги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 *</w:t>
            </w:r>
          </w:p>
        </w:tc>
        <w:tc>
          <w:tcPr>
            <w:tcW w:w="4540" w:type="dxa"/>
            <w:gridSpan w:val="2"/>
            <w:vAlign w:val="center"/>
          </w:tcPr>
          <w:p w14:paraId="0A309645" w14:textId="77777777" w:rsidR="00C469C3" w:rsidRPr="00CA0D69" w:rsidRDefault="00C469C3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Проект относится к сфере услуг, где «экспорт» реализуется через</w:t>
            </w:r>
          </w:p>
          <w:p w14:paraId="1126FAA8" w14:textId="312B7A7A" w:rsidR="00440824" w:rsidRPr="00CA0D69" w:rsidRDefault="00C469C3" w:rsidP="00C469C3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обслуживание въездного туризма</w:t>
            </w:r>
          </w:p>
        </w:tc>
      </w:tr>
      <w:tr w:rsidR="00440824" w:rsidRPr="00383C94" w14:paraId="3D6EBBF5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9BF68E0" w14:textId="499D5FAD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Конкурентные преимущества субъекта Российской Федерации и территории локализации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6D8BC5F6" w14:textId="77777777" w:rsidR="00C469C3" w:rsidRPr="00C469C3" w:rsidRDefault="00C469C3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469C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Выгодное географическое положение. Область расположена в центральной части Восточно-Европейской равнины, в 150 км от Московской агломерации — крупнейшего регионального рынка России. Это обеспечивает близость к ключевым потребителям продукции и доступ к транспортным коридорам. </w:t>
            </w:r>
          </w:p>
          <w:p w14:paraId="26365A57" w14:textId="77777777" w:rsidR="00C469C3" w:rsidRPr="00C469C3" w:rsidRDefault="00C469C3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  <w:p w14:paraId="1F273025" w14:textId="6C066C84" w:rsidR="00440824" w:rsidRPr="00383C94" w:rsidRDefault="00C469C3" w:rsidP="00C469C3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C469C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Развитая транспортная инфраструктура. Через поселок проходит федеральная трасса: М5 «Урал»</w:t>
            </w:r>
          </w:p>
        </w:tc>
      </w:tr>
      <w:tr w:rsidR="00440824" w:rsidRPr="00383C94" w14:paraId="55105B5C" w14:textId="77777777" w:rsidTr="00C84267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5C2D688A" w14:textId="5A2A621A" w:rsidR="00440824" w:rsidRPr="00383C94" w:rsidRDefault="00440824" w:rsidP="0044082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2" w:name="P1871"/>
            <w:bookmarkEnd w:id="2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Анализ сырьевого обеспечения инвестиционного проекта </w:t>
            </w:r>
          </w:p>
        </w:tc>
      </w:tr>
      <w:tr w:rsidR="00440824" w:rsidRPr="00383C94" w14:paraId="4B608F3E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5F587F0" w14:textId="7D8E6AAA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Уровень и качество сырьевого обеспечения инвестпроекта</w:t>
            </w:r>
          </w:p>
        </w:tc>
        <w:tc>
          <w:tcPr>
            <w:tcW w:w="4540" w:type="dxa"/>
            <w:gridSpan w:val="2"/>
            <w:vAlign w:val="center"/>
          </w:tcPr>
          <w:p w14:paraId="2E8AD1EE" w14:textId="77777777" w:rsidR="00440824" w:rsidRDefault="00292F05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На территории Путятинского муниципального округа успешно функционируют свыше десяти сельскохозяйственных товаропроизводителей, чья высококачественная продукция способна стать надежным источником сырья для реализации перспективного инвестиционного проекта.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76CFE32" w14:textId="67DE516D" w:rsidR="00C84267" w:rsidRPr="005B0342" w:rsidRDefault="00C84267" w:rsidP="00440824">
            <w:pPr>
              <w:widowControl w:val="0"/>
              <w:autoSpaceDE w:val="0"/>
              <w:autoSpaceDN w:val="0"/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40824" w:rsidRPr="00383C94" w14:paraId="64E6DC32" w14:textId="77777777" w:rsidTr="00C84267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52641783" w14:textId="77777777" w:rsidR="00440824" w:rsidRPr="00383C94" w:rsidRDefault="00440824" w:rsidP="0044082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3" w:name="P1877"/>
            <w:bookmarkEnd w:id="3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Локализация инвестиционного проекта</w:t>
            </w:r>
          </w:p>
        </w:tc>
      </w:tr>
      <w:tr w:rsidR="00440824" w:rsidRPr="00383C94" w14:paraId="08D37B5E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79A61AE" w14:textId="33AB7B4A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Кадастровый номер земельного участка</w:t>
            </w:r>
          </w:p>
        </w:tc>
        <w:tc>
          <w:tcPr>
            <w:tcW w:w="4540" w:type="dxa"/>
            <w:gridSpan w:val="2"/>
            <w:vAlign w:val="center"/>
          </w:tcPr>
          <w:p w14:paraId="48A1F8D2" w14:textId="52119DF9" w:rsidR="00440824" w:rsidRPr="00C469C3" w:rsidRDefault="00C469C3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kern w:val="2"/>
                <w:sz w:val="24"/>
                <w:szCs w:val="24"/>
                <w14:ligatures w14:val="standardContextual"/>
              </w:rPr>
            </w:pPr>
            <w:r w:rsidRPr="00C469C3">
              <w:rPr>
                <w:rFonts w:eastAsiaTheme="minorEastAsia"/>
                <w:i/>
                <w:kern w:val="2"/>
                <w:sz w:val="24"/>
                <w:szCs w:val="24"/>
                <w14:ligatures w14:val="standardContextual"/>
              </w:rPr>
              <w:t>62:12:0020308:482</w:t>
            </w:r>
          </w:p>
        </w:tc>
      </w:tr>
      <w:tr w:rsidR="00440824" w:rsidRPr="00383C94" w14:paraId="28FB24E2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43067EB" w14:textId="385AB448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Форма собственности на земельный участок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400F60A3" w14:textId="08E6388B" w:rsidR="00440824" w:rsidRPr="005B0342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Государственная до разграничения</w:t>
            </w:r>
          </w:p>
        </w:tc>
      </w:tr>
      <w:tr w:rsidR="00440824" w:rsidRPr="00383C94" w14:paraId="527CD8FE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5C2B982" w14:textId="733F7F89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Предполагаемый тип сделки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40" w:type="dxa"/>
            <w:gridSpan w:val="2"/>
            <w:vAlign w:val="center"/>
          </w:tcPr>
          <w:p w14:paraId="3A18295D" w14:textId="77777777" w:rsidR="00440824" w:rsidRPr="005B0342" w:rsidRDefault="00440824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Аренда через аукцион</w:t>
            </w:r>
          </w:p>
          <w:p w14:paraId="5A538E09" w14:textId="37BFCCFB" w:rsidR="00440824" w:rsidRPr="00C469C3" w:rsidRDefault="00440824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Продажа через аукцион</w:t>
            </w:r>
          </w:p>
        </w:tc>
      </w:tr>
      <w:tr w:rsidR="00440824" w:rsidRPr="00383C94" w14:paraId="3D017422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A9D6D6E" w14:textId="6DA16537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Площадь земельного участка (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Га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247BD0AE" w14:textId="79B2B19A" w:rsidR="00440824" w:rsidRPr="00383C94" w:rsidRDefault="00C469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0,0375</w:t>
            </w:r>
          </w:p>
        </w:tc>
      </w:tr>
      <w:tr w:rsidR="00440824" w:rsidRPr="00383C94" w14:paraId="56248CE0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7BD11CC8" w14:textId="63B4E5D1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Категория земельного участка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204A1C18" w14:textId="1638BB91" w:rsidR="00440824" w:rsidRPr="00C469C3" w:rsidRDefault="00440824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Земли населенных пунктов</w:t>
            </w:r>
          </w:p>
        </w:tc>
      </w:tr>
      <w:tr w:rsidR="00440824" w:rsidRPr="00383C94" w14:paraId="7A471C89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33D4424" w14:textId="3E098D78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Вид разрешенного использования земельного участка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706BFFF4" w14:textId="15F3A8D6" w:rsidR="00440824" w:rsidRPr="005B0342" w:rsidRDefault="00440824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Общественное питание</w:t>
            </w:r>
          </w:p>
        </w:tc>
      </w:tr>
      <w:tr w:rsidR="00440824" w:rsidRPr="00383C94" w14:paraId="0689FFAD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232502D" w14:textId="48C6D27F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преференциального режима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7F3A9C45" w14:textId="25915E45" w:rsidR="00440824" w:rsidRPr="00C469C3" w:rsidRDefault="00440824" w:rsidP="00C469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Отсутствует</w:t>
            </w:r>
          </w:p>
        </w:tc>
      </w:tr>
      <w:tr w:rsidR="00440824" w:rsidRPr="00383C94" w14:paraId="07439442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77224605" w14:textId="175BE223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Льготы в отношении земельного участка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78E5142A" w14:textId="09DCFB5B" w:rsidR="00440824" w:rsidRPr="00383C94" w:rsidRDefault="00C469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Отсутствуют</w:t>
            </w:r>
          </w:p>
        </w:tc>
      </w:tr>
      <w:tr w:rsidR="00440824" w:rsidRPr="00383C94" w14:paraId="384786E3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4212629" w14:textId="67510D5F" w:rsidR="0044082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</w:t>
            </w:r>
          </w:p>
        </w:tc>
        <w:tc>
          <w:tcPr>
            <w:tcW w:w="4540" w:type="dxa"/>
            <w:gridSpan w:val="2"/>
            <w:vAlign w:val="center"/>
          </w:tcPr>
          <w:p w14:paraId="66C1EA54" w14:textId="78D2BE80" w:rsidR="00440824" w:rsidRPr="005B0342" w:rsidRDefault="003D435B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CA0D6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Меры поддержки инвесторов в соответствии с законом Рязанской области от 06.04.2009 г. № 33-ОЗ «О государственной поддержки инвестиционной деятельности на территории Рязанской области»</w:t>
            </w:r>
          </w:p>
        </w:tc>
      </w:tr>
      <w:tr w:rsidR="00440824" w:rsidRPr="00383C94" w14:paraId="3EA323F1" w14:textId="77777777" w:rsidTr="00C84267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44DF1E88" w14:textId="77777777" w:rsidR="00440824" w:rsidRPr="00383C94" w:rsidRDefault="00440824" w:rsidP="0044082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4" w:name="P1905"/>
            <w:bookmarkEnd w:id="4"/>
            <w:r w:rsidRPr="003C126B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Инженерная инфраструктура</w:t>
            </w:r>
          </w:p>
        </w:tc>
      </w:tr>
      <w:tr w:rsidR="00B61772" w:rsidRPr="00383C94" w14:paraId="03E1156B" w14:textId="77777777" w:rsidTr="0082672D">
        <w:trPr>
          <w:trHeight w:val="1770"/>
          <w:jc w:val="center"/>
        </w:trPr>
        <w:tc>
          <w:tcPr>
            <w:tcW w:w="453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A6BAE8" w14:textId="4F5C4126" w:rsidR="00B61772" w:rsidRPr="00383C94" w:rsidRDefault="00B61772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Информация о наличии подключения к системам водоснабжения (да/нет/возможно подключение)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2329" w:type="dxa"/>
            <w:vMerge w:val="restart"/>
            <w:tcBorders>
              <w:bottom w:val="single" w:sz="4" w:space="0" w:color="auto"/>
            </w:tcBorders>
            <w:vAlign w:val="center"/>
          </w:tcPr>
          <w:p w14:paraId="7E5D0E66" w14:textId="5BA09DFA" w:rsidR="00B61772" w:rsidRPr="00383C94" w:rsidRDefault="00B61772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При наличии подключения</w:t>
            </w:r>
          </w:p>
        </w:tc>
        <w:tc>
          <w:tcPr>
            <w:tcW w:w="2211" w:type="dxa"/>
            <w:vAlign w:val="center"/>
          </w:tcPr>
          <w:p w14:paraId="53AD9F37" w14:textId="7C62E8B2" w:rsidR="00B61772" w:rsidRPr="0082672D" w:rsidRDefault="00B61772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Тариф на воду, руб./куб. м</w:t>
            </w:r>
          </w:p>
          <w:p w14:paraId="52FE6121" w14:textId="09863318" w:rsidR="00B61772" w:rsidRPr="0082672D" w:rsidRDefault="00B61772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MIN - 4,98 (5,43 с 1.10.2026) без НДС MAX - 71,08 (72,62 с 1.10.2026) без НДС </w:t>
            </w:r>
          </w:p>
        </w:tc>
      </w:tr>
      <w:tr w:rsidR="00B61772" w:rsidRPr="00383C94" w14:paraId="4B1A150A" w14:textId="77777777" w:rsidTr="0082672D">
        <w:trPr>
          <w:jc w:val="center"/>
        </w:trPr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54BD694C" w14:textId="77777777" w:rsidR="00B61772" w:rsidRPr="00383C94" w:rsidRDefault="00B61772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29" w:type="dxa"/>
            <w:vMerge/>
          </w:tcPr>
          <w:p w14:paraId="017D7928" w14:textId="77777777" w:rsidR="00B61772" w:rsidRPr="00383C94" w:rsidRDefault="00B61772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11" w:type="dxa"/>
            <w:vAlign w:val="center"/>
          </w:tcPr>
          <w:p w14:paraId="427AC316" w14:textId="77777777" w:rsidR="00B61772" w:rsidRPr="0082672D" w:rsidRDefault="00B61772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Иные характеристики:</w:t>
            </w:r>
          </w:p>
          <w:p w14:paraId="459DA043" w14:textId="3E6E5FF4" w:rsidR="00B61772" w:rsidRPr="0082672D" w:rsidRDefault="00B61772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 непосредственной близости имеется водопровод Д=100 мм</w:t>
            </w:r>
          </w:p>
        </w:tc>
      </w:tr>
      <w:tr w:rsidR="00A43DC3" w:rsidRPr="00383C94" w14:paraId="1917B377" w14:textId="77777777" w:rsidTr="0082672D">
        <w:trPr>
          <w:trHeight w:val="3430"/>
          <w:jc w:val="center"/>
        </w:trPr>
        <w:tc>
          <w:tcPr>
            <w:tcW w:w="453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6241E93" w14:textId="11AAA304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 xml:space="preserve">Информация о наличии подключения к системе газоснабжения (да/нет/возможно </w:t>
            </w:r>
            <w:proofErr w:type="gramStart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подключение)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  <w:proofErr w:type="gramEnd"/>
          </w:p>
        </w:tc>
        <w:tc>
          <w:tcPr>
            <w:tcW w:w="2329" w:type="dxa"/>
            <w:tcBorders>
              <w:bottom w:val="nil"/>
            </w:tcBorders>
            <w:vAlign w:val="center"/>
          </w:tcPr>
          <w:p w14:paraId="72B5D301" w14:textId="77777777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 случае если подключение возможно</w:t>
            </w: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  <w:vAlign w:val="center"/>
          </w:tcPr>
          <w:p w14:paraId="0D0A15E4" w14:textId="77777777" w:rsidR="00A43DC3" w:rsidRPr="0082672D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Иные характеристики:</w:t>
            </w:r>
          </w:p>
          <w:p w14:paraId="446CB2E4" w14:textId="1460EBC8" w:rsidR="00A43DC3" w:rsidRPr="0082672D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 непосредственной близости имеется ШРП. Объем свободной для подключения мощности 100</w:t>
            </w:r>
            <w:r w:rsidRPr="0082672D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82672D">
              <w:rPr>
                <w:i/>
                <w:iCs/>
              </w:rPr>
              <w:t>куб.м</w:t>
            </w:r>
            <w:proofErr w:type="spellEnd"/>
            <w:proofErr w:type="gramEnd"/>
            <w:r w:rsidRPr="0082672D">
              <w:rPr>
                <w:i/>
                <w:iCs/>
              </w:rPr>
              <w:t>/час.</w:t>
            </w:r>
          </w:p>
        </w:tc>
      </w:tr>
      <w:tr w:rsidR="00A43DC3" w:rsidRPr="00383C94" w14:paraId="61BF6EBB" w14:textId="77777777" w:rsidTr="0082672D">
        <w:tblPrEx>
          <w:tblBorders>
            <w:insideH w:val="nil"/>
          </w:tblBorders>
        </w:tblPrEx>
        <w:trPr>
          <w:trHeight w:val="20"/>
          <w:jc w:val="center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621FCB8" w14:textId="77777777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29" w:type="dxa"/>
            <w:tcBorders>
              <w:top w:val="nil"/>
              <w:bottom w:val="single" w:sz="4" w:space="0" w:color="auto"/>
            </w:tcBorders>
          </w:tcPr>
          <w:p w14:paraId="30E8E1C2" w14:textId="77777777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71298AD1" w14:textId="3D6640F8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43DC3" w:rsidRPr="00383C94" w14:paraId="20EF6DCF" w14:textId="77777777" w:rsidTr="0082672D">
        <w:trPr>
          <w:trHeight w:val="3126"/>
          <w:jc w:val="center"/>
        </w:trPr>
        <w:tc>
          <w:tcPr>
            <w:tcW w:w="453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9C5827C" w14:textId="5A3C81C1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Информация о наличии подключения к сетям электроснабжения (да/нет/возможно </w:t>
            </w:r>
            <w:proofErr w:type="gramStart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подключение)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  <w:proofErr w:type="gramEnd"/>
          </w:p>
        </w:tc>
        <w:tc>
          <w:tcPr>
            <w:tcW w:w="2329" w:type="dxa"/>
            <w:vMerge w:val="restart"/>
            <w:tcBorders>
              <w:bottom w:val="single" w:sz="4" w:space="0" w:color="auto"/>
            </w:tcBorders>
            <w:vAlign w:val="center"/>
          </w:tcPr>
          <w:p w14:paraId="692BAA75" w14:textId="77777777" w:rsidR="00A43DC3" w:rsidRPr="00383C94" w:rsidRDefault="00A43DC3" w:rsidP="00C84267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 случае если подключение возможно</w:t>
            </w: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  <w:vAlign w:val="center"/>
          </w:tcPr>
          <w:p w14:paraId="4B373B6C" w14:textId="6CC566C1" w:rsidR="00A43DC3" w:rsidRPr="0082672D" w:rsidRDefault="00A43DC3" w:rsidP="00C8426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Иные характеристики: подключение к ВЛ 0,4 </w:t>
            </w:r>
            <w:proofErr w:type="spellStart"/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кВ.</w:t>
            </w:r>
            <w:proofErr w:type="spellEnd"/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Свободная мощность для подключения 50 кВт </w:t>
            </w:r>
          </w:p>
        </w:tc>
      </w:tr>
      <w:tr w:rsidR="00A43DC3" w:rsidRPr="00383C94" w14:paraId="59B5DD62" w14:textId="77777777" w:rsidTr="0082672D">
        <w:tblPrEx>
          <w:tblBorders>
            <w:insideH w:val="nil"/>
          </w:tblBorders>
        </w:tblPrEx>
        <w:trPr>
          <w:trHeight w:val="20"/>
          <w:jc w:val="center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1B9B00B" w14:textId="77777777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29" w:type="dxa"/>
            <w:vMerge/>
            <w:tcBorders>
              <w:bottom w:val="single" w:sz="4" w:space="0" w:color="auto"/>
            </w:tcBorders>
          </w:tcPr>
          <w:p w14:paraId="3BA3718F" w14:textId="77777777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08485371" w14:textId="4D0DEEA5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43DC3" w:rsidRPr="00383C94" w14:paraId="428A59E3" w14:textId="77777777" w:rsidTr="0082672D">
        <w:trPr>
          <w:trHeight w:val="2208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66FC5A9A" w14:textId="3F43209A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Вывоз ТКО Наличие (Да/Нет)</w:t>
            </w:r>
            <w:r w:rsidRPr="00BC7C6F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  <w:r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329" w:type="dxa"/>
            <w:vAlign w:val="center"/>
          </w:tcPr>
          <w:p w14:paraId="7A2CB7AF" w14:textId="77777777" w:rsidR="00A43DC3" w:rsidRPr="00383C94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 случае если заключение договора на оказание услуг по обращению с ТКО возможно</w:t>
            </w:r>
          </w:p>
        </w:tc>
        <w:tc>
          <w:tcPr>
            <w:tcW w:w="2211" w:type="dxa"/>
            <w:vAlign w:val="center"/>
          </w:tcPr>
          <w:p w14:paraId="160A908B" w14:textId="77777777" w:rsidR="00A43DC3" w:rsidRPr="0082672D" w:rsidRDefault="00A43DC3" w:rsidP="00A43D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Тариф на вывоз ТКО исходя из фактического объема, руб./куб. м</w:t>
            </w:r>
          </w:p>
          <w:p w14:paraId="77ABF2EB" w14:textId="77777777" w:rsidR="00A43DC3" w:rsidRPr="0082672D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MIN - 701,94 без НДС </w:t>
            </w:r>
          </w:p>
          <w:p w14:paraId="208FAA70" w14:textId="06A25423" w:rsidR="00A43DC3" w:rsidRPr="00A43DC3" w:rsidRDefault="00A43DC3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2672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MAX - 803,28 с 1.10.2026 без НДС</w:t>
            </w:r>
          </w:p>
        </w:tc>
      </w:tr>
      <w:tr w:rsidR="00440824" w:rsidRPr="00383C94" w14:paraId="37FF8263" w14:textId="77777777" w:rsidTr="00C84267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11FD284B" w14:textId="77777777" w:rsidR="00440824" w:rsidRPr="00383C94" w:rsidRDefault="00440824" w:rsidP="0044082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5" w:name="P1984"/>
            <w:bookmarkEnd w:id="5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Иное ресурсное обеспечение инвестиционного проекта</w:t>
            </w:r>
          </w:p>
        </w:tc>
      </w:tr>
      <w:tr w:rsidR="00440824" w:rsidRPr="00383C94" w14:paraId="13892C55" w14:textId="14C4B7FE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2B9F8C3" w14:textId="480DD3B4" w:rsidR="00440824" w:rsidRPr="00383C94" w:rsidRDefault="00440824" w:rsidP="00440824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5198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подъездных путей*</w:t>
            </w:r>
          </w:p>
        </w:tc>
        <w:tc>
          <w:tcPr>
            <w:tcW w:w="4540" w:type="dxa"/>
            <w:gridSpan w:val="2"/>
            <w:vAlign w:val="center"/>
          </w:tcPr>
          <w:p w14:paraId="59D33D8D" w14:textId="21F38662" w:rsidR="00440824" w:rsidRPr="00251982" w:rsidRDefault="00440824" w:rsidP="00251982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Да</w:t>
            </w:r>
          </w:p>
        </w:tc>
      </w:tr>
      <w:tr w:rsidR="00440824" w:rsidRPr="00383C94" w14:paraId="081DDE41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3CE721C" w14:textId="6D4793F4" w:rsidR="00440824" w:rsidRPr="00383C94" w:rsidRDefault="00440824" w:rsidP="00440824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ж/д*</w:t>
            </w:r>
          </w:p>
        </w:tc>
        <w:tc>
          <w:tcPr>
            <w:tcW w:w="4540" w:type="dxa"/>
            <w:gridSpan w:val="2"/>
            <w:vAlign w:val="center"/>
          </w:tcPr>
          <w:p w14:paraId="41FC538B" w14:textId="1FC1FB40" w:rsidR="00440824" w:rsidRPr="003D435B" w:rsidRDefault="00440824" w:rsidP="003D435B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</w:tc>
      </w:tr>
      <w:tr w:rsidR="00440824" w:rsidRPr="00383C94" w14:paraId="47A2B77D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3C8DE69" w14:textId="24385122" w:rsidR="00440824" w:rsidRPr="00383C94" w:rsidRDefault="00440824" w:rsidP="00440824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парковки грузового транспорта*</w:t>
            </w:r>
          </w:p>
        </w:tc>
        <w:tc>
          <w:tcPr>
            <w:tcW w:w="4540" w:type="dxa"/>
            <w:gridSpan w:val="2"/>
            <w:vAlign w:val="center"/>
          </w:tcPr>
          <w:p w14:paraId="3C0930D2" w14:textId="118E2ADE" w:rsidR="00440824" w:rsidRPr="00FC23EA" w:rsidRDefault="00440824" w:rsidP="003D435B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5198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Возможно создание</w:t>
            </w:r>
          </w:p>
        </w:tc>
      </w:tr>
      <w:tr w:rsidR="00440824" w:rsidRPr="00383C94" w14:paraId="5F6DF63C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424D355" w14:textId="65CEDFCF" w:rsidR="00440824" w:rsidRPr="00251982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5198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Возможность софинансирования инвестиционного проекта*</w:t>
            </w:r>
          </w:p>
        </w:tc>
        <w:tc>
          <w:tcPr>
            <w:tcW w:w="4540" w:type="dxa"/>
            <w:gridSpan w:val="2"/>
            <w:vAlign w:val="center"/>
          </w:tcPr>
          <w:p w14:paraId="53CC4B34" w14:textId="4B851506" w:rsidR="00440824" w:rsidRPr="00251982" w:rsidRDefault="00251982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5198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440824" w:rsidRPr="0025198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ет </w:t>
            </w:r>
          </w:p>
        </w:tc>
      </w:tr>
      <w:tr w:rsidR="00440824" w:rsidRPr="00383C94" w14:paraId="32FF2856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88C4EAA" w14:textId="632D55B8" w:rsidR="00440824" w:rsidRPr="00251982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5198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Обязательства субъекта Российской Федерации, связанные с реализацией инвестиционного проекта*</w:t>
            </w:r>
          </w:p>
        </w:tc>
        <w:tc>
          <w:tcPr>
            <w:tcW w:w="4540" w:type="dxa"/>
            <w:gridSpan w:val="2"/>
            <w:vAlign w:val="center"/>
          </w:tcPr>
          <w:p w14:paraId="59B294B1" w14:textId="5C44EA70" w:rsidR="00440824" w:rsidRPr="00251982" w:rsidRDefault="00251982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5198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440824" w:rsidRPr="0025198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ет </w:t>
            </w:r>
          </w:p>
        </w:tc>
      </w:tr>
      <w:tr w:rsidR="00440824" w:rsidRPr="00383C94" w14:paraId="5BC29BA9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1BB4383" w14:textId="6C9DAD29" w:rsidR="00440824" w:rsidRPr="00251982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5198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Возможности и условия партнерства при реализации инвестпроекта*</w:t>
            </w:r>
          </w:p>
        </w:tc>
        <w:tc>
          <w:tcPr>
            <w:tcW w:w="4540" w:type="dxa"/>
            <w:gridSpan w:val="2"/>
            <w:vAlign w:val="center"/>
          </w:tcPr>
          <w:p w14:paraId="0819AB05" w14:textId="48A91235" w:rsidR="00440824" w:rsidRPr="00251982" w:rsidRDefault="00251982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5198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440824" w:rsidRPr="0025198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ет </w:t>
            </w:r>
          </w:p>
        </w:tc>
      </w:tr>
      <w:tr w:rsidR="0083321D" w:rsidRPr="00383C94" w14:paraId="3192E98A" w14:textId="77777777" w:rsidTr="0082672D">
        <w:trPr>
          <w:jc w:val="center"/>
        </w:trPr>
        <w:tc>
          <w:tcPr>
            <w:tcW w:w="2347" w:type="dxa"/>
            <w:vMerge w:val="restart"/>
            <w:shd w:val="clear" w:color="auto" w:fill="F2F2F2" w:themeFill="background1" w:themeFillShade="F2"/>
          </w:tcPr>
          <w:p w14:paraId="01335093" w14:textId="33787D55" w:rsidR="0083321D" w:rsidRPr="00383C94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Кадровое обеспечение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28A6BF68" w14:textId="3D5CA43C" w:rsidR="0083321D" w:rsidRPr="00383C94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Население субъекта Российской Федерации (чел.)</w:t>
            </w:r>
          </w:p>
        </w:tc>
        <w:tc>
          <w:tcPr>
            <w:tcW w:w="4540" w:type="dxa"/>
            <w:gridSpan w:val="2"/>
            <w:vAlign w:val="center"/>
          </w:tcPr>
          <w:p w14:paraId="2009C337" w14:textId="29686D0D" w:rsidR="0083321D" w:rsidRPr="00292F05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1 074 402 (на 1 января 2025, </w:t>
            </w:r>
            <w:proofErr w:type="spellStart"/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3321D" w:rsidRPr="00383C94" w14:paraId="5758C66F" w14:textId="77777777" w:rsidTr="0082672D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6C161913" w14:textId="77777777" w:rsidR="0083321D" w:rsidRPr="00383C94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61C4B92B" w14:textId="77777777" w:rsidR="0083321D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Трудоспособное население субъекта Российской Федерации (чел.)</w:t>
            </w:r>
          </w:p>
          <w:p w14:paraId="26CCF077" w14:textId="6498584A" w:rsidR="00C84267" w:rsidRPr="00383C94" w:rsidRDefault="00C84267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40" w:type="dxa"/>
            <w:gridSpan w:val="2"/>
            <w:vAlign w:val="center"/>
          </w:tcPr>
          <w:p w14:paraId="1F31DF85" w14:textId="0BB20B7F" w:rsidR="0083321D" w:rsidRPr="00292F05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612 176 (2024, </w:t>
            </w:r>
            <w:proofErr w:type="spellStart"/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440824" w:rsidRPr="00383C94" w14:paraId="40FA421C" w14:textId="77777777" w:rsidTr="0082672D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03C1775B" w14:textId="77777777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300C882B" w14:textId="6ACD9763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Население агломерации в непосредственной локации (чел.)</w:t>
            </w:r>
          </w:p>
        </w:tc>
        <w:tc>
          <w:tcPr>
            <w:tcW w:w="4540" w:type="dxa"/>
            <w:gridSpan w:val="2"/>
            <w:vAlign w:val="center"/>
          </w:tcPr>
          <w:p w14:paraId="6BD0B69B" w14:textId="50E42B71" w:rsidR="00440824" w:rsidRPr="00292F05" w:rsidRDefault="00E44E8A" w:rsidP="00E44E8A">
            <w:pPr>
              <w:rPr>
                <w:i/>
                <w:iCs/>
                <w:sz w:val="24"/>
                <w:szCs w:val="24"/>
              </w:rPr>
            </w:pPr>
            <w:r w:rsidRPr="00292F05">
              <w:rPr>
                <w:i/>
                <w:iCs/>
                <w:sz w:val="24"/>
                <w:szCs w:val="24"/>
              </w:rPr>
              <w:t xml:space="preserve">6 768 </w:t>
            </w: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(на 1 января 2025, </w:t>
            </w:r>
            <w:proofErr w:type="spellStart"/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440824" w:rsidRPr="00383C94" w14:paraId="4257BB64" w14:textId="77777777" w:rsidTr="0082672D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5BC6F1EE" w14:textId="77777777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7A3C156B" w14:textId="4980E958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Средняя заработная плата в субъекте Российской Федерации (руб.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в мес.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4540" w:type="dxa"/>
            <w:gridSpan w:val="2"/>
            <w:vAlign w:val="center"/>
          </w:tcPr>
          <w:p w14:paraId="6E0EA187" w14:textId="1E5A9973" w:rsidR="00440824" w:rsidRPr="00292F05" w:rsidRDefault="0083321D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73 392,8 (2025, </w:t>
            </w:r>
            <w:proofErr w:type="spellStart"/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3321D" w:rsidRPr="00383C94" w14:paraId="3E22B8E8" w14:textId="77777777" w:rsidTr="0082672D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3ABCD534" w14:textId="77777777" w:rsidR="0083321D" w:rsidRPr="00383C94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14:paraId="794BF89D" w14:textId="3D4D3290" w:rsidR="0083321D" w:rsidRPr="00383C94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F381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Количество вузов и ссузов с профильными программами</w:t>
            </w:r>
            <w:r w:rsidRPr="00DF3811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  <w:vAlign w:val="center"/>
          </w:tcPr>
          <w:p w14:paraId="3E214244" w14:textId="77777777" w:rsidR="0083321D" w:rsidRPr="00292F05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14 вузов </w:t>
            </w:r>
          </w:p>
          <w:p w14:paraId="728D9F3C" w14:textId="1CF80525" w:rsidR="0083321D" w:rsidRPr="00292F05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24 ссуза</w:t>
            </w:r>
          </w:p>
        </w:tc>
      </w:tr>
      <w:tr w:rsidR="0083321D" w:rsidRPr="00383C94" w14:paraId="018D3883" w14:textId="77777777" w:rsidTr="0082672D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65878E35" w14:textId="77777777" w:rsidR="0083321D" w:rsidRPr="00383C94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14:paraId="1C67746D" w14:textId="262636A8" w:rsidR="0083321D" w:rsidRPr="00DF3811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F381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Количество выпускников по профильным программам в год</w:t>
            </w:r>
            <w:r w:rsidRPr="00DF3811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gridSpan w:val="2"/>
          </w:tcPr>
          <w:p w14:paraId="3CD30C23" w14:textId="77777777" w:rsidR="0083321D" w:rsidRPr="00292F05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7000 человек – специалисты среднего профессионального образования</w:t>
            </w:r>
          </w:p>
          <w:p w14:paraId="47EA4606" w14:textId="07856C04" w:rsidR="0083321D" w:rsidRPr="00292F05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5631 человек – специалисты высшего образования</w:t>
            </w:r>
          </w:p>
        </w:tc>
      </w:tr>
      <w:tr w:rsidR="00440824" w:rsidRPr="00383C94" w14:paraId="272974E3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48B602E" w14:textId="40C935D3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Наименование организации*</w:t>
            </w:r>
          </w:p>
        </w:tc>
        <w:tc>
          <w:tcPr>
            <w:tcW w:w="4540" w:type="dxa"/>
            <w:gridSpan w:val="2"/>
            <w:vAlign w:val="center"/>
          </w:tcPr>
          <w:p w14:paraId="61F5A0DF" w14:textId="1CA96523" w:rsidR="00440824" w:rsidRPr="00292F05" w:rsidRDefault="0083321D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Администрация Путятинского муниципального округа Рязанской области</w:t>
            </w:r>
          </w:p>
        </w:tc>
      </w:tr>
      <w:tr w:rsidR="00440824" w:rsidRPr="00383C94" w14:paraId="436A4383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44C32A4" w14:textId="08A32EEA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ИНН организации*</w:t>
            </w:r>
          </w:p>
        </w:tc>
        <w:tc>
          <w:tcPr>
            <w:tcW w:w="4540" w:type="dxa"/>
            <w:gridSpan w:val="2"/>
            <w:vAlign w:val="center"/>
          </w:tcPr>
          <w:p w14:paraId="0A3F8F54" w14:textId="21952339" w:rsidR="00440824" w:rsidRPr="00292F05" w:rsidRDefault="0083321D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6200000961</w:t>
            </w:r>
          </w:p>
        </w:tc>
      </w:tr>
      <w:tr w:rsidR="00440824" w:rsidRPr="00383C94" w14:paraId="18037D2C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4B5F2CB" w14:textId="774B8845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Контактное лицо (ФИО)*</w:t>
            </w:r>
          </w:p>
        </w:tc>
        <w:tc>
          <w:tcPr>
            <w:tcW w:w="4540" w:type="dxa"/>
            <w:gridSpan w:val="2"/>
            <w:vAlign w:val="center"/>
          </w:tcPr>
          <w:p w14:paraId="73301E33" w14:textId="60D15666" w:rsidR="00440824" w:rsidRPr="00292F05" w:rsidRDefault="0083321D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Корнеев Максим Геннадьевич - первый заместитель главы администрации</w:t>
            </w:r>
          </w:p>
        </w:tc>
      </w:tr>
      <w:tr w:rsidR="00440824" w:rsidRPr="00383C94" w14:paraId="41D38577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B3D5404" w14:textId="27B7B7EB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Телефон*</w:t>
            </w:r>
          </w:p>
        </w:tc>
        <w:tc>
          <w:tcPr>
            <w:tcW w:w="4540" w:type="dxa"/>
            <w:gridSpan w:val="2"/>
            <w:vAlign w:val="center"/>
          </w:tcPr>
          <w:p w14:paraId="0FB837EE" w14:textId="009341C2" w:rsidR="0083321D" w:rsidRPr="00292F05" w:rsidRDefault="0083321D" w:rsidP="0083321D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8 (49146) 2-17-41</w:t>
            </w:r>
          </w:p>
          <w:p w14:paraId="1ACCE756" w14:textId="10E4DEDF" w:rsidR="00440824" w:rsidRPr="00292F05" w:rsidRDefault="0083321D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8 (910) 501-14-79</w:t>
            </w:r>
          </w:p>
        </w:tc>
      </w:tr>
      <w:tr w:rsidR="00440824" w:rsidRPr="00383C94" w14:paraId="159C4E5F" w14:textId="77777777" w:rsidTr="0082672D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5B2ECE1" w14:textId="4E177C7A" w:rsidR="00440824" w:rsidRPr="00383C94" w:rsidRDefault="00440824" w:rsidP="0044082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Адрес электронной почты*</w:t>
            </w:r>
          </w:p>
        </w:tc>
        <w:tc>
          <w:tcPr>
            <w:tcW w:w="4540" w:type="dxa"/>
            <w:gridSpan w:val="2"/>
            <w:vAlign w:val="center"/>
          </w:tcPr>
          <w:p w14:paraId="0C362E56" w14:textId="4F08B49A" w:rsidR="00440824" w:rsidRPr="00292F05" w:rsidRDefault="0083321D" w:rsidP="0044082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92F0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putyatino@ryazan.gov.ru</w:t>
            </w:r>
          </w:p>
        </w:tc>
      </w:tr>
    </w:tbl>
    <w:p w14:paraId="30B491C6" w14:textId="77777777" w:rsidR="00DB1410" w:rsidRDefault="00DB1410" w:rsidP="00DF3811"/>
    <w:sectPr w:rsidR="00DB1410" w:rsidSect="00DB1410">
      <w:pgSz w:w="11906" w:h="16838"/>
      <w:pgMar w:top="851" w:right="850" w:bottom="1560" w:left="1701" w:header="708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349"/>
    <w:multiLevelType w:val="multilevel"/>
    <w:tmpl w:val="7D2EC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07AF7"/>
    <w:multiLevelType w:val="multilevel"/>
    <w:tmpl w:val="3750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C3360"/>
    <w:multiLevelType w:val="multilevel"/>
    <w:tmpl w:val="529A5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C2DB2"/>
    <w:multiLevelType w:val="multilevel"/>
    <w:tmpl w:val="8E3C2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C1C5F"/>
    <w:multiLevelType w:val="hybridMultilevel"/>
    <w:tmpl w:val="7FFC565C"/>
    <w:lvl w:ilvl="0" w:tplc="E3664AE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167A7"/>
    <w:multiLevelType w:val="hybridMultilevel"/>
    <w:tmpl w:val="2C5C1376"/>
    <w:lvl w:ilvl="0" w:tplc="29C60E4C">
      <w:start w:val="1"/>
      <w:numFmt w:val="decimal"/>
      <w:lvlText w:val="9.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0160A"/>
    <w:multiLevelType w:val="multilevel"/>
    <w:tmpl w:val="62DAC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93B1C"/>
    <w:multiLevelType w:val="multilevel"/>
    <w:tmpl w:val="D830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62624"/>
    <w:multiLevelType w:val="hybridMultilevel"/>
    <w:tmpl w:val="4C2A454C"/>
    <w:lvl w:ilvl="0" w:tplc="F1780C9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659CC"/>
    <w:multiLevelType w:val="multilevel"/>
    <w:tmpl w:val="69CEA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632C1"/>
    <w:multiLevelType w:val="multilevel"/>
    <w:tmpl w:val="A6D0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77681"/>
    <w:multiLevelType w:val="multilevel"/>
    <w:tmpl w:val="1EDA0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F53FD"/>
    <w:multiLevelType w:val="hybridMultilevel"/>
    <w:tmpl w:val="BB924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059A3"/>
    <w:multiLevelType w:val="multilevel"/>
    <w:tmpl w:val="08643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315478">
    <w:abstractNumId w:val="12"/>
  </w:num>
  <w:num w:numId="2" w16cid:durableId="1922174523">
    <w:abstractNumId w:val="8"/>
  </w:num>
  <w:num w:numId="3" w16cid:durableId="423890289">
    <w:abstractNumId w:val="4"/>
  </w:num>
  <w:num w:numId="4" w16cid:durableId="1011184311">
    <w:abstractNumId w:val="5"/>
  </w:num>
  <w:num w:numId="5" w16cid:durableId="2077629410">
    <w:abstractNumId w:val="7"/>
  </w:num>
  <w:num w:numId="6" w16cid:durableId="2116973565">
    <w:abstractNumId w:val="11"/>
  </w:num>
  <w:num w:numId="7" w16cid:durableId="773130210">
    <w:abstractNumId w:val="9"/>
  </w:num>
  <w:num w:numId="8" w16cid:durableId="1004631910">
    <w:abstractNumId w:val="2"/>
  </w:num>
  <w:num w:numId="9" w16cid:durableId="294533270">
    <w:abstractNumId w:val="0"/>
  </w:num>
  <w:num w:numId="10" w16cid:durableId="276642945">
    <w:abstractNumId w:val="6"/>
  </w:num>
  <w:num w:numId="11" w16cid:durableId="730739007">
    <w:abstractNumId w:val="13"/>
  </w:num>
  <w:num w:numId="12" w16cid:durableId="449084134">
    <w:abstractNumId w:val="3"/>
  </w:num>
  <w:num w:numId="13" w16cid:durableId="1763794179">
    <w:abstractNumId w:val="1"/>
  </w:num>
  <w:num w:numId="14" w16cid:durableId="2080129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10"/>
    <w:rsid w:val="00013705"/>
    <w:rsid w:val="0005348A"/>
    <w:rsid w:val="000E7E0D"/>
    <w:rsid w:val="00101314"/>
    <w:rsid w:val="00251982"/>
    <w:rsid w:val="0025399D"/>
    <w:rsid w:val="00284092"/>
    <w:rsid w:val="00292F05"/>
    <w:rsid w:val="002A484E"/>
    <w:rsid w:val="002E5F00"/>
    <w:rsid w:val="00355CE6"/>
    <w:rsid w:val="00383C94"/>
    <w:rsid w:val="003C126B"/>
    <w:rsid w:val="003D435B"/>
    <w:rsid w:val="003D5238"/>
    <w:rsid w:val="003E2E70"/>
    <w:rsid w:val="00440824"/>
    <w:rsid w:val="00465EC7"/>
    <w:rsid w:val="004A6F2F"/>
    <w:rsid w:val="004C0870"/>
    <w:rsid w:val="005717BC"/>
    <w:rsid w:val="00587C38"/>
    <w:rsid w:val="00587DF0"/>
    <w:rsid w:val="005B0342"/>
    <w:rsid w:val="00642E5E"/>
    <w:rsid w:val="006823CF"/>
    <w:rsid w:val="006C2580"/>
    <w:rsid w:val="00761068"/>
    <w:rsid w:val="007C0332"/>
    <w:rsid w:val="0082672D"/>
    <w:rsid w:val="0083321D"/>
    <w:rsid w:val="008B47C3"/>
    <w:rsid w:val="008B4DBA"/>
    <w:rsid w:val="00A03659"/>
    <w:rsid w:val="00A43DC3"/>
    <w:rsid w:val="00A74815"/>
    <w:rsid w:val="00AA1D8D"/>
    <w:rsid w:val="00B61772"/>
    <w:rsid w:val="00BC04D3"/>
    <w:rsid w:val="00BC7C6F"/>
    <w:rsid w:val="00C31EA6"/>
    <w:rsid w:val="00C469C3"/>
    <w:rsid w:val="00C84267"/>
    <w:rsid w:val="00CA0D69"/>
    <w:rsid w:val="00CA5D93"/>
    <w:rsid w:val="00DB1410"/>
    <w:rsid w:val="00DB3811"/>
    <w:rsid w:val="00DD2AAA"/>
    <w:rsid w:val="00DF3001"/>
    <w:rsid w:val="00DF3811"/>
    <w:rsid w:val="00E44E8A"/>
    <w:rsid w:val="00E665C4"/>
    <w:rsid w:val="00F66671"/>
    <w:rsid w:val="00FC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90A2"/>
  <w15:chartTrackingRefBased/>
  <w15:docId w15:val="{0242CAB7-63E1-417B-8909-C2728B9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410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4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4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4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4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4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4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4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4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4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4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4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14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B141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Горынина</dc:creator>
  <cp:keywords/>
  <dc:description/>
  <cp:lastModifiedBy>Мария Трфандян</cp:lastModifiedBy>
  <cp:revision>17</cp:revision>
  <dcterms:created xsi:type="dcterms:W3CDTF">2026-04-09T07:21:00Z</dcterms:created>
  <dcterms:modified xsi:type="dcterms:W3CDTF">2026-05-04T14:30:00Z</dcterms:modified>
</cp:coreProperties>
</file>