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73F71D" w14:textId="2B9A06A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Инвестиционный паспорт площадки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61"/>
        <w:tblW w:w="15275" w:type="dxa"/>
        <w:tblBorders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>
        <w:trPr/>
        <w:tc>
          <w:tcPr>
            <w:tcBorders/>
            <w:tcW w:w="817" w:type="dxa"/>
            <w:textDirection w:val="lrTb"/>
            <w:noWrap w:val="false"/>
          </w:tcPr>
          <w:p w14:paraId="3550B35D" w14:textId="4CCEE486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  <w:br/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3FDB606" w14:textId="0128B1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73CE9B5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2D3B13C2" w14:textId="6625833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Статус площадки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62EF69D" w14:textId="7E8A611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2B7C339" w14:textId="3E70087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C9218C" w14:textId="6B02C8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EDA2692" w14:textId="0942503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об объекте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731759D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F79CF37" w14:textId="5E5D0272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92629B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сельскохозяйственного назначения площадью 6,2617 га, расположенный  в кадастровом квартале 62:05:0010153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2CD21BC" w14:textId="1DBC7A9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2940F20" w14:textId="714900D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1512B2" w14:textId="1EF239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F11275B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01F8835" w14:textId="1DA9A345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40CEAB" w14:textId="4D968C52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0FC3B9" w14:textId="62B8B439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AD48E50" w14:textId="0DF436D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7646183" w14:textId="736C5A6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льгот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05A32A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55B444" w14:textId="0FE93E66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F163C1" w14:textId="66EC14AB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238C2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FC4834A" w14:textId="1D103B3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EDA6E5" w14:textId="1ED4D0ED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9EB9DD" w14:textId="62E6CAB8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14D354B" w14:textId="2AE3FA9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A024834" w14:textId="1DF936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</w:t>
            </w:r>
            <w:r>
              <w:rPr>
                <w:rFonts w:ascii="Times New Roman" w:hAnsi="Times New Roman" w:cs="Times New Roman"/>
              </w:rPr>
              <w:t xml:space="preserve">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0CE4353" w14:textId="4AFBD0C8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3F9B90B" w14:textId="6DC831E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737798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Клепиковский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79"/>
        </w:trPr>
        <w:tc>
          <w:tcPr>
            <w:tcBorders/>
            <w:tcW w:w="817" w:type="dxa"/>
            <w:textDirection w:val="lrTb"/>
            <w:noWrap w:val="false"/>
          </w:tcPr>
          <w:p w14:paraId="17FB3692" w14:textId="39855DA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B693511" w14:textId="35AE00F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C2D355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г.Спас-Клепики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C2E1E" w14:textId="4C659C3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FD21601" w14:textId="721C061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DC9006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г.Спас-Клепики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8CA9A4" w14:textId="7126C2B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154F124" w14:textId="0C367D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F97AF2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AC95BA1" w14:textId="770802E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9CD0D73" w14:textId="49CE7A7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EDFDBD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Гринфилд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6F54D890" w14:textId="095A66D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98C8DB9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25EBD1" w14:textId="12143E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C6DCF" w14:textId="055767B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086EF6A8" w14:textId="000657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Свободные площади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8A3AA3C" w14:textId="0964227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9C68901" w14:textId="0B9FD39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DED16D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до разграничения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E1F7F9A">
            <w:pPr>
              <w:pBdr/>
              <w:spacing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691F9DA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E5CF765" w14:textId="618B4B9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F8BA613" w14:textId="2733870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19AE9C4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0536E65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Аренда через аукцион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B6EF7B6" w14:textId="364897BB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A4C0930" w14:textId="37E0565F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20944BC" w14:textId="6B226A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266434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B85E294" w14:textId="345E44E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A5225E1" w14:textId="3E86BC5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C83E19D" w14:textId="5AF946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925E764" w14:textId="1F86AD0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E2ADEB1" w14:textId="7E620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</w:t>
            </w:r>
            <w:r>
              <w:rPr>
                <w:rFonts w:ascii="Times New Roman" w:hAnsi="Times New Roman" w:cs="Times New Roman"/>
              </w:rPr>
              <w:t xml:space="preserve">кв.м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ADED56" w14:textId="2803B7F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901403" w14:textId="0CA8041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45CABFB" w14:textId="6A82FCE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max</w:t>
            </w:r>
            <w:r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2C338D">
            <w:pPr>
              <w:pBdr/>
              <w:spacing/>
              <w:ind/>
              <w:rPr/>
            </w:pPr>
            <w:r>
              <w:t xml:space="preserve">3-10</w:t>
            </w:r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CBDA983" w14:textId="24B0A79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1D05E5" w14:textId="0B6CF33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определения стоимости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F08750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Кадастровая стоимость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45CE496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Рыночная стоимость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045189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C45CD3B">
            <w:pPr>
              <w:pBdr/>
              <w:spacing/>
              <w:ind/>
              <w:rPr>
                <w:rFonts w:ascii="Times New Roman" w:hAnsi="Times New Roman" w:cs="Times New Roman"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Рыночная стоимость определяется в соответствии с Федеральным законом от 29.07.1998 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iCs/>
                <w:color w:val="ed7d31" w:themeColor="accent2"/>
              </w:rPr>
            </w:r>
            <w:r>
              <w:rPr>
                <w:rFonts w:ascii="Times New Roman" w:hAnsi="Times New Roman" w:cs="Times New Roman"/>
                <w:iCs/>
                <w:color w:val="ed7d31" w:themeColor="accent2"/>
              </w:rPr>
            </w:r>
          </w:p>
          <w:p w14:paraId="3CBC8D67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7F6E9" w14:textId="281A142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1841A7" w14:textId="39549C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опасности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E173044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AD38CA" w14:textId="0B844D9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6687473" w14:textId="612A4A0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расположенных объектов капитального строительства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45414A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7C4EC5F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1CBC116F" w14:textId="482D39E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294639" w14:textId="6DA1C53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277E01B" w14:textId="2F4B30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ЗУ, га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75F509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6,2617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2727143F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33C557" w14:textId="7217B8A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265473" w14:textId="2A9E04A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702A2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7CE856E" w14:textId="1312D6A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8E17A97" w14:textId="6248A8D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Варианты разрешенного использования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E7523A0">
            <w:pPr>
              <w:pBdr/>
              <w:spacing/>
              <w:ind/>
              <w:rPr>
                <w:rFonts w:ascii="Times New Roman" w:hAnsi="Times New Roman" w:cs="Times New Roman"/>
                <w:bCs w:val="0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Питомники</w:t>
            </w:r>
            <w:r>
              <w:rPr>
                <w:rFonts w:ascii="Times New Roman" w:hAnsi="Times New Roman" w:cs="Times New Roman"/>
                <w:bCs w:val="0"/>
                <w:i w:val="0"/>
                <w:iCs/>
              </w:rPr>
            </w:r>
            <w:r>
              <w:rPr>
                <w:rFonts w:ascii="Times New Roman" w:hAnsi="Times New Roman" w:cs="Times New Roman"/>
                <w:bCs w:val="0"/>
                <w:i w:val="0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18802F0" w14:textId="54C26AC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F9FEAF3" w14:textId="41A69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32C916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78770A1" w14:textId="4186925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ACB5727" w14:textId="225C322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E6025B1" w14:textId="6AD8AD8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3AE59AE1" w14:textId="4A74FFA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здания, сооружения, помещения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85ED651" w14:textId="62A98CE4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950A371" w14:textId="1C8F569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здания, сооружения, помещения (кв. м)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59ADA7F" w14:textId="41F9D59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798CFC2" w14:textId="1D8EECE2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671760" w14:textId="7B6FB134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здания, сооружения, помещения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F885CF" w14:textId="3DBB69B1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0D7055" w14:textId="0F225CB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D9B1ABD" w14:textId="57BC3A1A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характеристики здания, сооружения, помещения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5D7E6E" w14:textId="59D273F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C92BE68" w14:textId="344B9E5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49F7791" w14:textId="46E0AC5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D3A661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Клепиковский</w:t>
            </w:r>
            <w:r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7C1FAE4" w14:textId="540547F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7C2E8A7" w14:textId="2C3EB2D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собственника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D2737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6200018824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7CA4DA" w14:textId="69A7A87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CD3AC2" w14:textId="16364BB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875203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159C6CF" w14:textId="5FF6211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C2CA973" w14:textId="2FBCEDD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>
              <w:rPr>
                <w:rFonts w:ascii="Times New Roman" w:hAnsi="Times New Roman" w:cs="Times New Roman"/>
              </w:rPr>
              <w:t xml:space="preserve">e-</w:t>
            </w:r>
            <w:r>
              <w:rPr>
                <w:rFonts w:ascii="Times New Roman" w:hAnsi="Times New Roman" w:cs="Times New Roman"/>
              </w:rPr>
              <w:t xml:space="preserve"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8603CE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fku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klepiki</w:t>
            </w:r>
            <w:r>
              <w:rPr>
                <w:rFonts w:ascii="Times New Roman" w:hAnsi="Times New Roman" w:cs="Times New Roman"/>
                <w:iCs/>
              </w:rPr>
              <w:t xml:space="preserve">@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ryazan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FF3530C" w14:textId="005F422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4C5EE78" w14:textId="5E616DC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96FADB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https://klepikovskiy.ryazan.gov.ru/activities/investitsii/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54C6FDB" w14:textId="61787AE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6C078A" w14:textId="0295F6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B6A10F3" w14:textId="604585F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6E6A508" w14:textId="1C507B3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Техническое присоединение</w:t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</w:p>
        </w:tc>
      </w:tr>
      <w:tr>
        <w:trPr>
          <w:trHeight w:val="837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 w14:paraId="66A10EC3" w14:textId="660FA90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BC04ED1" w14:textId="4EF24CAE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5F13C18B">
            <w:pPr>
              <w:pBdr/>
              <w:spacing/>
              <w:ind w:left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2B9C8B0F" w14:textId="0908F82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C1EB6E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1225A8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F431ED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70BDA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592C3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CD5886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5DDA997" w14:textId="6D72C2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FB10A1C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9DBC68F" w14:textId="58A3D1B6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014E28C" w14:textId="0ED1D16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369BA5E" w14:textId="0789570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1B4DE04" w14:textId="50F5B1B4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88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77FBE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6081FD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0BA6129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E178DB3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34634FD" w14:textId="64A8782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292E248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6D80B6D4" w14:textId="7CAF1523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469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D273D49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566EE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6AE3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A86E914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59E16319" w14:textId="4A8C6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8446B8A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3DE8E9B" w14:textId="63CADC3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F36F3FB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3AC31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B5C350E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C2383AF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B6C4E26" w14:textId="1FFB56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r>
              <w:rPr>
                <w:rFonts w:ascii="Times New Roman" w:hAnsi="Times New Roman" w:cs="Times New Roman"/>
                <w:iCs/>
              </w:rPr>
              <w:t xml:space="preserve">куб.м</w:t>
            </w:r>
            <w:r>
              <w:rPr>
                <w:rFonts w:ascii="Times New Roman" w:hAnsi="Times New Roman" w:cs="Times New Roman"/>
                <w:iCs/>
              </w:rPr>
              <w:t xml:space="preserve">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4FEEF95" w14:textId="7870328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6AF462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D229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44B1C52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8A5C12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6FACFB2" w14:textId="687D589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EFE9921" w14:textId="034F567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CA2047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91836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F6AC5C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E33634D" w14:textId="3E25A7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7475574A" w14:textId="5CAC862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BA850C0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51AE503" w14:textId="2FC6AF0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3D06CB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DE6C2E1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8CEFFE4" w14:textId="743676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83B929D" w14:textId="1354BC8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212F3DAD">
            <w:pPr>
              <w:pBdr/>
              <w:spacing/>
              <w:ind/>
              <w:rPr/>
            </w:pPr>
            <w:r>
              <w:t xml:space="preserve">58,21</w:t>
            </w:r>
            <w:r/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C1F2C1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2EACF30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51B28B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DF520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FF4BD43" w14:textId="6158626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6E4B0059">
            <w:pPr>
              <w:pBdr/>
              <w:spacing/>
              <w:ind/>
              <w:rPr/>
            </w:pPr>
            <w:r>
              <w:t xml:space="preserve">15</w:t>
            </w:r>
            <w:r/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B98A79E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632A1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951CDED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255F1A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625B8B1" w14:textId="750BDFF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371BBF4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подключение от существующих водопроводных сетей трубой ПНД 32 мм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5B648AC0" w14:textId="01D3D00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B2BC75C" w14:textId="0F956DA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198BE592" w14:textId="22B8957D">
            <w:pPr>
              <w:pStyle w:val="97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6A40E90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77156F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38D9B0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51CB582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6234CDD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161D89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3C91BF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30E52D6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D3B0ADC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BC4E138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07654E9" w14:textId="5D1C8F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25B47E4" w14:textId="403D04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D9A6C9" w14:textId="74D09CF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BC0D4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255B36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CD178F8" w14:textId="77777777">
            <w:pPr>
              <w:numPr>
                <w:ilvl w:val="0"/>
                <w:numId w:val="11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1AC585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D1849E0" w14:textId="6DA37AB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7D6BF95" w14:textId="02225E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6DA8A7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FECA3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A1DCFA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9A75A09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435BE5F" w14:textId="6821574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CD517B4" w14:textId="7B9B218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9F4DC8F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1BE33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DE5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99084B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F6E25" w14:textId="7C28EFD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4712DE1" w14:textId="09632AF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9DD8D1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F93884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9DF7757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CF207E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C259403" w14:textId="5C48351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8AC1D4B" w14:textId="3C732EC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09EA2F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0DE3A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86F05F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643DF7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E0CE2B" w14:textId="329BECE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F521DDD" w14:textId="29D555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E392F9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2E35B5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7340E3E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313411B" w14:textId="3D9B84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4B587D1" w14:textId="4D279F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4FCE2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Индивидуальный септик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328430D" w14:textId="7838B3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7C197B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E5A0E5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C5A362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BDB47A8" w14:textId="51E484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658F6A9" w14:textId="29E1D7F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30ED3D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D6A03B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71DE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2772846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50F30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89099A" w14:textId="5E04703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41FE30" w14:textId="67C5EF1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DEB57D8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95F7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C3371A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C9D16D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18164BC" w14:textId="7D510D6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9DB399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69238CD3" w14:textId="35E15525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13DE638E" w14:textId="36D7CF6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559DFD73" w14:textId="30FAE0C0">
            <w:pPr>
              <w:pStyle w:val="97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6EC333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7321212" w14:textId="23200F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19ED34B" w14:textId="4484316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BFF8E0B" w14:textId="3696302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06BA22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A1F70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3397ED7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FC3CC8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58B443E" w14:textId="55E7F1B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>
              <w:rPr>
                <w:rFonts w:ascii="Times New Roman" w:hAnsi="Times New Roman" w:cs="Times New Roman"/>
                <w:iCs/>
              </w:rPr>
              <w:t xml:space="preserve">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AC5E481" w14:textId="3AC1891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354721F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9AAC6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84B842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99D6D2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7706AD3" w14:textId="00B0791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EBEE057" w14:textId="2DB4A0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B58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5F8AD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F5DDB61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EB5F587" w14:textId="5CB9E4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98F4FC" w14:textId="749C5EC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r>
              <w:rPr>
                <w:rFonts w:ascii="Times New Roman" w:hAnsi="Times New Roman" w:cs="Times New Roman"/>
                <w:iCs/>
              </w:rPr>
              <w:t xml:space="preserve">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B698D" w14:textId="05787F9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B74C4DD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9B1064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4AFA9B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27CEF3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DF1E1D4" w14:textId="0E81CC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3715B7B" w14:textId="7AC407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717E4D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B23D2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2E009F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7EAD638" w14:textId="334EE9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728F07E" w14:textId="640C7F9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89EFCED" w14:textId="4D6BD03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2606B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DDC435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60F540A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7517E6C3" w14:textId="3DF0CA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0FCAC98" w14:textId="2647419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761078" w14:textId="3C6DB7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8,606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8FEC73D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12E451A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1DDD6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FC35BB5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4A21DCC" w14:textId="51CE00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A5DFC71" w14:textId="7F4CBE0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E006EE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1AAF62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6B2CB8D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437CAB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B67ECDA" w14:textId="45FC9A0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</w:t>
            </w:r>
            <w:r>
              <w:rPr>
                <w:rFonts w:ascii="Times New Roman" w:hAnsi="Times New Roman" w:cs="Times New Roman"/>
                <w:iCs/>
              </w:rPr>
              <w:t xml:space="preserve"> И</w:t>
            </w:r>
            <w:r>
              <w:rPr>
                <w:rFonts w:ascii="Times New Roman" w:hAnsi="Times New Roman" w:cs="Times New Roman"/>
                <w:iCs/>
              </w:rPr>
              <w:t xml:space="preserve">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5CC3E1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Подземный и надземный газопровод высокого дав</w:t>
            </w:r>
            <w:r>
              <w:rPr>
                <w:rFonts w:ascii="Times New Roman" w:hAnsi="Times New Roman" w:cs="Times New Roman"/>
                <w:iCs/>
              </w:rPr>
              <w:t xml:space="preserve">ления находится на расстоянии 104</w:t>
            </w:r>
            <w:r>
              <w:rPr>
                <w:rFonts w:ascii="Times New Roman" w:hAnsi="Times New Roman" w:cs="Times New Roman"/>
                <w:iCs/>
              </w:rPr>
              <w:t xml:space="preserve"> м от участка.</w:t>
            </w:r>
            <w:r>
              <w:rPr>
                <w:rFonts w:ascii="Times New Roman" w:hAnsi="Times New Roman" w:cs="Times New Roman"/>
                <w:iCs/>
              </w:rPr>
              <w:t xml:space="preserve"> Предельная свободная мощность в точке подключения 5 </w:t>
            </w:r>
            <w:r>
              <w:rPr>
                <w:rFonts w:ascii="Times New Roman" w:hAnsi="Times New Roman" w:cs="Times New Roman"/>
                <w:iCs/>
              </w:rPr>
              <w:t xml:space="preserve">м.куб</w:t>
            </w:r>
            <w:r>
              <w:rPr>
                <w:rFonts w:ascii="Times New Roman" w:hAnsi="Times New Roman" w:cs="Times New Roman"/>
                <w:iCs/>
              </w:rPr>
              <w:t xml:space="preserve">./час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7164CF40" w14:textId="208C3EC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36FC8CE" w14:textId="3A8AD90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327758BC" w14:textId="407013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E71369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4A5E4B07" w14:textId="40F2A6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0EF3B25" w14:textId="4A4C63C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2C325A8" w14:textId="3DE0967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462ED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7FD5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B2609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D49D46B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466F77F" w14:textId="5A0B11D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транспортировку, руб./МВт*ч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D3188E5" w14:textId="6BF8D93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EA3D9E1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EA668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16B2D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7BFF13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9948C49" w14:textId="6D217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2D6C228" w14:textId="44B24DE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F7E887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4461B0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088385B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4E6E036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459B4" w14:textId="480236E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Свободная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B61F8F3" w14:textId="07645E6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C70FB5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566FF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B72913C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53A7D5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FE85F6F" w14:textId="4CA4BB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0A1E875" w14:textId="308779E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F282B5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3140E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3852F0F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76B5593" w14:textId="526831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BBEBD72" w14:textId="3B19DDA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F769E78" w14:textId="585D5C6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8051130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5712C4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BCE228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63CF91E" w14:textId="10212B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2DAC8C" w14:textId="59F774E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F41369F" w14:textId="6F7E1C7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7,24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831D40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9FE4C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5317ECF9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7EAE805" w14:textId="4C8CCF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9D3E04E" w14:textId="5BABD5A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50FE09" w14:textId="3E244A4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17,38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871FC2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7E30EA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CB5F623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B04B8C" w14:textId="311D75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4F017D" w14:textId="4379B9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7F422D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/>
                <w:color w:val="000000" w:themeColor="text1"/>
              </w:rPr>
              <w:t xml:space="preserve">Ближайшим открытым центром питания является ПС </w:t>
            </w:r>
            <w:r>
              <w:rPr>
                <w:rFonts w:ascii="Times New Roman" w:hAnsi="Times New Roman"/>
                <w:color w:val="000000" w:themeColor="text1"/>
              </w:rPr>
              <w:t xml:space="preserve">Клепики</w:t>
            </w:r>
            <w:r>
              <w:rPr>
                <w:rFonts w:ascii="Times New Roman" w:hAnsi="Times New Roman"/>
                <w:color w:val="000000" w:themeColor="text1"/>
              </w:rPr>
              <w:t xml:space="preserve">, имеющая текущий резерв мощности для технологического присоединения 17,38 МВт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4D75A27D" w14:textId="3F51ADC4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4E76476" w14:textId="2008A73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C05CE8C" w14:textId="4D0B3D0B">
            <w:pPr>
              <w:pStyle w:val="97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71F27C4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1D77C722" w14:textId="111EFF29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6FF297" w14:textId="4C78EB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D515108" w14:textId="4331B24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FDD529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8B6A89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26DE5F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D1B46E3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7B415E" w14:textId="46A168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транспортировку, руб./Гкал*ч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58787E4" w14:textId="64911B1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2DE7C5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C5509A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560CCD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D9E7D1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329FCC" w14:textId="68B68435">
            <w:pPr>
              <w:pBdr/>
              <w:tabs>
                <w:tab w:val="left" w:leader="none" w:pos="1590"/>
              </w:tabs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5291BEB" w14:textId="2DCA391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E7B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D7E13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E807B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B7C164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2704B42" w14:textId="7EBA9CC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Свободная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904012A" w14:textId="41FE315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A38CE3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04B6E5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8D5DEF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FD6B8BC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B7A07CB" w14:textId="3FD3701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389EE8E" w14:textId="4FB73FE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6D411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766322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69E90C8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C250C51" w14:textId="40763B9C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565A17" w14:textId="32108F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CAF5F4" w14:textId="441B595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6F3AFFEC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578EF8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B8AE6F0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ACA628D" w14:textId="7662386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1337B23" w14:textId="653B83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07C53C" w14:textId="683EF89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0419B15F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8B63D9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265868C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BE787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C4B9629" w14:textId="349D2CF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ACC9F33" w14:textId="52D42D4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2DB010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6C283B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F43E317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A6BBA8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1DEB5D6" w14:textId="652114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2BDD2" w14:textId="30D99D8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BEB76D0" w14:textId="6F84F8B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Вывоз твердых коммунальных отходов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D146BE2" w14:textId="3B83FEA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7BAB06" w14:textId="57C6BB1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CCAA3" w14:textId="781EE2A5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2BB8BB6" w14:textId="51CC832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FEB82DD" w14:textId="020B88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руб./тонна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907FF2C" w14:textId="4206A7C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5155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3205FA2" w14:textId="2DD0B4D5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C01A0C4" w14:textId="0F8442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руб./куб. м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5817404" w14:textId="2BF16E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701,94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7E62EBB" w14:textId="0A1467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479BF04" w14:textId="3AB6094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A1DEAF" w14:textId="149115F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5E8BE70" w14:textId="3A797F84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Да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B992457" w14:textId="748F921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140D19" w14:textId="4F9ECAA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475CB6" w14:textId="3799C601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E5AF2C" w14:textId="42E50C6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7DE0B7" w14:textId="030BE98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92279A7" w14:textId="3BD19A3F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0C0D850" w14:textId="681A536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1373726" w14:textId="73FC842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характеристики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E4B8E96" w14:textId="214DE224">
            <w:pPr>
              <w:pBdr/>
              <w:spacing/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9E2732F" w14:textId="5DB15C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E038F77" w14:textId="54FDFA18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9A393FB" w14:textId="2B01406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43AEF2D" w14:textId="15093052">
            <w:pPr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370F685" w14:textId="63F638AF">
            <w:pPr>
              <w:pStyle w:val="956"/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до 3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 5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 xml:space="preserve">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 xml:space="preserve"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 xml:space="preserve">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 xml:space="preserve">7. В течение 5 рабочих дней с момента получения субъектом соглашения осуществляется его подписание.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BE7F2A4" w14:textId="2E705199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545E9C" w14:textId="49E6BA1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AD68A6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Заявка на сопровождение инвестиционного проекта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5C946DE9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Учредительные документы организации.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45497A08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Паспорт проекта или бизнес-план с финансово-экономическим обоснованием.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7BBE6920" w14:textId="02422194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ивными условиями кредитования).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D8E7F47" w14:textId="25F71D1F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B59D7C" w14:textId="6BB1C46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8677DF5" w14:textId="48F557E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office@rrdc.ru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7BE2659" w14:textId="1424ED2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4D21420" w14:textId="1DC8B50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AE9C3" w14:textId="6030427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/>
            <w:hyperlink r:id="rId10" w:tooltip="https://investryazan.ru/ru/page/zayavka_na_invest_proekt" w:history="1">
              <w:r>
                <w:rPr>
                  <w:rStyle w:val="962"/>
                  <w:rFonts w:ascii="Times New Roman" w:hAnsi="Times New Roman" w:cs="Times New Roman"/>
                </w:rPr>
                <w:t xml:space="preserve">https://investryazan.ru/ru/page/zayavka_na_invest_proekt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B52F192" w14:textId="67A9CDA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80A4136" w14:textId="77B01FF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F3EFA3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- 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2E7FD7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D5D194" w14:textId="784432A5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DD5F9ED" w14:textId="2C9D803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Градостроительные характеристики и ограничения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791CFC2">
            <w:pPr>
              <w:pBdr/>
              <w:spacing/>
              <w:ind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Ограничения в использовании: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  <w:p w14:paraId="7B1325D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Территория частично расположена в охранной зоне линейного объекта «Внутризоновая кабельная линия 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Клепики-Тума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» реестровый номер 62:05-6.1067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7D79661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A922D53" w14:textId="6B57EB1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4E186E5" w14:textId="50649F3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B00CC70" w14:textId="403DE1D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7EF5918" w14:textId="26E3851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439DBF0" w14:textId="02CA1E1F">
            <w:pPr>
              <w:pBdr/>
              <w:spacing/>
              <w:ind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B76771" w14:textId="01019BB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FF801CF" w14:textId="017576D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86A46D4" w14:textId="79766B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территориального планирования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2C0AAF" w14:textId="35C0183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7CC964" w14:textId="125C9B0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446F7A3" w14:textId="0F81875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8A6017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D3EDEA4" w14:textId="05B51B1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F02A6B" w14:textId="279B855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по объекту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9B770B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3"/>
        </w:trPr>
        <w:tc>
          <w:tcPr>
            <w:gridSpan w:val="7"/>
            <w:tcBorders/>
            <w:tcW w:w="15275" w:type="dxa"/>
            <w:textDirection w:val="lrTb"/>
            <w:noWrap w:val="false"/>
          </w:tcPr>
          <w:p w14:paraId="6C7CB50D" w14:textId="758D6DC0"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Координаты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45"/>
        </w:trPr>
        <w:tc>
          <w:tcPr>
            <w:tcBorders/>
            <w:tcW w:w="817" w:type="dxa"/>
            <w:textDirection w:val="lrTb"/>
            <w:noWrap w:val="false"/>
          </w:tcPr>
          <w:p w14:paraId="2162F35B" w14:textId="0FDE0144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1EAA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682CAB4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55.1390535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 w14:paraId="5329366C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843"/>
        </w:trPr>
        <w:tc>
          <w:tcPr>
            <w:tcBorders/>
            <w:tcW w:w="817" w:type="dxa"/>
            <w:textDirection w:val="lrTb"/>
            <w:noWrap w:val="false"/>
          </w:tcPr>
          <w:p w14:paraId="642CF80F" w14:textId="52E341B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3550D6" w14:textId="073022C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CF25F8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40.2239979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46ADF1D" w14:textId="491F614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59A40AB6" w14:textId="16FD82F7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4D9E752" w14:textId="048CFC25">
      <w:pPr>
        <w:pBdr/>
        <w:spacing/>
        <w:ind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- Пункты обязательны к заполнению, либо обязательны к заполнению с условием</w:t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</w:p>
    <w:sectPr>
      <w:footnotePr/>
      <w:endnotePr/>
      <w:type w:val="nextPage"/>
      <w:pgSz w:h="11906" w:orient="landscape" w:w="16838"/>
      <w:pgMar w:top="1701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C9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07C40CF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9B763A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07C2AB0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1DF5007A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7">
    <w:nsid w:val="1EBA052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27F87FC7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3E1F66A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3F4F0B64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0CF0889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nsid w:val="4DC255B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nsid w:val="4E351E8C"/>
    <w:lvl w:ilvl="0">
      <w:isLgl w:val="false"/>
      <w:lvlJc w:val="left"/>
      <w:lvlText w:val="%1"/>
      <w:numFmt w:val="decimal"/>
      <w:pPr>
        <w:pBdr/>
        <w:spacing/>
        <w:ind w:hanging="55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4F070EDF"/>
    <w:lvl w:ilvl="0">
      <w:isLgl w:val="false"/>
      <w:lvlJc w:val="left"/>
      <w:lvlText w:val="%1."/>
      <w:numFmt w:val="decimal"/>
      <w:pPr>
        <w:pBdr/>
        <w:spacing/>
        <w:ind w:hanging="360" w:left="39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8"/>
      </w:pPr>
      <w:rPr/>
      <w:start w:val="1"/>
      <w:suff w:val="tab"/>
    </w:lvl>
  </w:abstractNum>
  <w:abstractNum w:abstractNumId="17">
    <w:nsid w:val="52500B4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nsid w:val="53C7405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nsid w:val="65757E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nsid w:val="6747520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6993758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nsid w:val="6ADE0A2D"/>
    <w:lvl w:ilvl="0">
      <w:isLgl w:val="false"/>
      <w:lvlJc w:val="left"/>
      <w:lvlText w:val="%1."/>
      <w:numFmt w:val="decimal"/>
      <w:pPr>
        <w:pBdr/>
        <w:spacing/>
        <w:ind w:hanging="360" w:left="75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18"/>
      </w:pPr>
      <w:rPr/>
      <w:start w:val="1"/>
      <w:suff w:val="tab"/>
    </w:lvl>
  </w:abstractNum>
  <w:abstractNum w:abstractNumId="23">
    <w:nsid w:val="72E5188B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7A270A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8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9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>
    <w:name w:val="Heading 1 Char"/>
    <w:basedOn w:val="938"/>
    <w:link w:val="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7">
    <w:name w:val="Heading 2 Char"/>
    <w:basedOn w:val="938"/>
    <w:link w:val="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8">
    <w:name w:val="Heading 3 Char"/>
    <w:basedOn w:val="938"/>
    <w:link w:val="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9">
    <w:name w:val="Heading 4 Char"/>
    <w:basedOn w:val="938"/>
    <w:link w:val="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0">
    <w:name w:val="Heading 5 Char"/>
    <w:basedOn w:val="938"/>
    <w:link w:val="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1">
    <w:name w:val="Heading 6 Char"/>
    <w:basedOn w:val="938"/>
    <w:link w:val="9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2">
    <w:name w:val="Heading 7 Char"/>
    <w:basedOn w:val="938"/>
    <w:link w:val="9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3">
    <w:name w:val="Heading 8 Char"/>
    <w:basedOn w:val="938"/>
    <w:link w:val="9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4">
    <w:name w:val="Heading 9 Char"/>
    <w:basedOn w:val="938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>
    <w:name w:val="Title Char"/>
    <w:basedOn w:val="938"/>
    <w:link w:val="9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6">
    <w:name w:val="Subtitle Char"/>
    <w:basedOn w:val="938"/>
    <w:link w:val="9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>
    <w:name w:val="Quote Char"/>
    <w:basedOn w:val="938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Intense Quote Char"/>
    <w:basedOn w:val="938"/>
    <w:link w:val="9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9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0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901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902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3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4">
    <w:name w:val="Header"/>
    <w:basedOn w:val="928"/>
    <w:link w:val="90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5">
    <w:name w:val="Header Char"/>
    <w:basedOn w:val="938"/>
    <w:link w:val="904"/>
    <w:uiPriority w:val="99"/>
    <w:pPr>
      <w:pBdr/>
      <w:spacing/>
      <w:ind/>
    </w:pPr>
  </w:style>
  <w:style w:type="paragraph" w:styleId="906">
    <w:name w:val="Footer"/>
    <w:basedOn w:val="928"/>
    <w:link w:val="9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7">
    <w:name w:val="Footer Char"/>
    <w:basedOn w:val="938"/>
    <w:link w:val="906"/>
    <w:uiPriority w:val="99"/>
    <w:pPr>
      <w:pBdr/>
      <w:spacing/>
      <w:ind/>
    </w:pPr>
  </w:style>
  <w:style w:type="paragraph" w:styleId="908">
    <w:name w:val="Caption"/>
    <w:basedOn w:val="928"/>
    <w:next w:val="9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9">
    <w:name w:val="footnote text"/>
    <w:basedOn w:val="928"/>
    <w:link w:val="9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0">
    <w:name w:val="Footnote Text Char"/>
    <w:basedOn w:val="938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foot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928"/>
    <w:link w:val="91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3">
    <w:name w:val="Endnote Text Char"/>
    <w:basedOn w:val="938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character" w:styleId="915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6">
    <w:name w:val="toc 1"/>
    <w:basedOn w:val="928"/>
    <w:next w:val="928"/>
    <w:uiPriority w:val="39"/>
    <w:unhideWhenUsed/>
    <w:pPr>
      <w:pBdr/>
      <w:spacing w:after="100"/>
      <w:ind/>
    </w:pPr>
  </w:style>
  <w:style w:type="paragraph" w:styleId="917">
    <w:name w:val="toc 2"/>
    <w:basedOn w:val="928"/>
    <w:next w:val="928"/>
    <w:uiPriority w:val="39"/>
    <w:unhideWhenUsed/>
    <w:pPr>
      <w:pBdr/>
      <w:spacing w:after="100"/>
      <w:ind w:left="220"/>
    </w:pPr>
  </w:style>
  <w:style w:type="paragraph" w:styleId="918">
    <w:name w:val="toc 3"/>
    <w:basedOn w:val="928"/>
    <w:next w:val="928"/>
    <w:uiPriority w:val="39"/>
    <w:unhideWhenUsed/>
    <w:pPr>
      <w:pBdr/>
      <w:spacing w:after="100"/>
      <w:ind w:left="440"/>
    </w:pPr>
  </w:style>
  <w:style w:type="paragraph" w:styleId="919">
    <w:name w:val="toc 4"/>
    <w:basedOn w:val="928"/>
    <w:next w:val="928"/>
    <w:uiPriority w:val="39"/>
    <w:unhideWhenUsed/>
    <w:pPr>
      <w:pBdr/>
      <w:spacing w:after="100"/>
      <w:ind w:left="660"/>
    </w:pPr>
  </w:style>
  <w:style w:type="paragraph" w:styleId="920">
    <w:name w:val="toc 5"/>
    <w:basedOn w:val="928"/>
    <w:next w:val="928"/>
    <w:uiPriority w:val="39"/>
    <w:unhideWhenUsed/>
    <w:pPr>
      <w:pBdr/>
      <w:spacing w:after="100"/>
      <w:ind w:left="880"/>
    </w:pPr>
  </w:style>
  <w:style w:type="paragraph" w:styleId="921">
    <w:name w:val="toc 6"/>
    <w:basedOn w:val="928"/>
    <w:next w:val="928"/>
    <w:uiPriority w:val="39"/>
    <w:unhideWhenUsed/>
    <w:pPr>
      <w:pBdr/>
      <w:spacing w:after="100"/>
      <w:ind w:left="1100"/>
    </w:pPr>
  </w:style>
  <w:style w:type="paragraph" w:styleId="922">
    <w:name w:val="toc 7"/>
    <w:basedOn w:val="928"/>
    <w:next w:val="928"/>
    <w:uiPriority w:val="39"/>
    <w:unhideWhenUsed/>
    <w:pPr>
      <w:pBdr/>
      <w:spacing w:after="100"/>
      <w:ind w:left="1320"/>
    </w:pPr>
  </w:style>
  <w:style w:type="paragraph" w:styleId="923">
    <w:name w:val="toc 8"/>
    <w:basedOn w:val="928"/>
    <w:next w:val="928"/>
    <w:uiPriority w:val="39"/>
    <w:unhideWhenUsed/>
    <w:pPr>
      <w:pBdr/>
      <w:spacing w:after="100"/>
      <w:ind w:left="1540"/>
    </w:pPr>
  </w:style>
  <w:style w:type="paragraph" w:styleId="924">
    <w:name w:val="toc 9"/>
    <w:basedOn w:val="928"/>
    <w:next w:val="928"/>
    <w:uiPriority w:val="39"/>
    <w:unhideWhenUsed/>
    <w:pPr>
      <w:pBdr/>
      <w:spacing w:after="100"/>
      <w:ind w:left="1760"/>
    </w:pPr>
  </w:style>
  <w:style w:type="character" w:styleId="925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928"/>
    <w:next w:val="928"/>
    <w:uiPriority w:val="99"/>
    <w:unhideWhenUsed/>
    <w:pPr>
      <w:pBdr/>
      <w:spacing w:after="0" w:afterAutospacing="0"/>
      <w:ind/>
    </w:pPr>
  </w:style>
  <w:style w:type="paragraph" w:styleId="928" w:default="1">
    <w:name w:val="Normal"/>
    <w:qFormat/>
    <w:pPr>
      <w:pBdr/>
      <w:spacing/>
      <w:ind/>
    </w:pPr>
  </w:style>
  <w:style w:type="paragraph" w:styleId="929">
    <w:name w:val="Heading 1"/>
    <w:basedOn w:val="928"/>
    <w:next w:val="928"/>
    <w:link w:val="9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930">
    <w:name w:val="Heading 2"/>
    <w:basedOn w:val="928"/>
    <w:next w:val="928"/>
    <w:link w:val="94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31">
    <w:name w:val="Heading 3"/>
    <w:basedOn w:val="928"/>
    <w:next w:val="928"/>
    <w:link w:val="94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32">
    <w:name w:val="Heading 4"/>
    <w:basedOn w:val="928"/>
    <w:next w:val="928"/>
    <w:link w:val="944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33">
    <w:name w:val="Heading 5"/>
    <w:basedOn w:val="928"/>
    <w:next w:val="928"/>
    <w:link w:val="945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34">
    <w:name w:val="Heading 6"/>
    <w:basedOn w:val="928"/>
    <w:next w:val="928"/>
    <w:link w:val="946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35">
    <w:name w:val="Heading 7"/>
    <w:basedOn w:val="928"/>
    <w:next w:val="928"/>
    <w:link w:val="947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36">
    <w:name w:val="Heading 8"/>
    <w:basedOn w:val="928"/>
    <w:next w:val="928"/>
    <w:link w:val="948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37">
    <w:name w:val="Heading 9"/>
    <w:basedOn w:val="928"/>
    <w:next w:val="928"/>
    <w:link w:val="949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  <w:style w:type="character" w:styleId="941" w:customStyle="1">
    <w:name w:val="Заголовок 1 Знак"/>
    <w:basedOn w:val="938"/>
    <w:link w:val="929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42" w:customStyle="1">
    <w:name w:val="Заголовок 2 Знак"/>
    <w:basedOn w:val="938"/>
    <w:link w:val="9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43" w:customStyle="1">
    <w:name w:val="Заголовок 3 Знак"/>
    <w:basedOn w:val="938"/>
    <w:link w:val="931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44" w:customStyle="1">
    <w:name w:val="Заголовок 4 Знак"/>
    <w:basedOn w:val="938"/>
    <w:link w:val="932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45" w:customStyle="1">
    <w:name w:val="Заголовок 5 Знак"/>
    <w:basedOn w:val="938"/>
    <w:link w:val="93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46" w:customStyle="1">
    <w:name w:val="Заголовок 6 Знак"/>
    <w:basedOn w:val="938"/>
    <w:link w:val="93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47" w:customStyle="1">
    <w:name w:val="Заголовок 7 Знак"/>
    <w:basedOn w:val="938"/>
    <w:link w:val="93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48" w:customStyle="1">
    <w:name w:val="Заголовок 8 Знак"/>
    <w:basedOn w:val="938"/>
    <w:link w:val="93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49" w:customStyle="1">
    <w:name w:val="Заголовок 9 Знак"/>
    <w:basedOn w:val="938"/>
    <w:link w:val="93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50">
    <w:name w:val="Title"/>
    <w:basedOn w:val="928"/>
    <w:next w:val="928"/>
    <w:link w:val="951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51" w:customStyle="1">
    <w:name w:val="Название Знак"/>
    <w:basedOn w:val="938"/>
    <w:link w:val="95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52">
    <w:name w:val="Subtitle"/>
    <w:basedOn w:val="928"/>
    <w:next w:val="928"/>
    <w:link w:val="953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53" w:customStyle="1">
    <w:name w:val="Подзаголовок Знак"/>
    <w:basedOn w:val="938"/>
    <w:link w:val="95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54">
    <w:name w:val="Quote"/>
    <w:basedOn w:val="928"/>
    <w:next w:val="928"/>
    <w:link w:val="9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5" w:customStyle="1">
    <w:name w:val="Цитата 2 Знак"/>
    <w:basedOn w:val="938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6">
    <w:name w:val="List Paragraph"/>
    <w:basedOn w:val="928"/>
    <w:uiPriority w:val="34"/>
    <w:qFormat/>
    <w:pPr>
      <w:pBdr/>
      <w:spacing/>
      <w:ind w:left="720"/>
      <w:contextualSpacing w:val="true"/>
    </w:pPr>
  </w:style>
  <w:style w:type="character" w:styleId="957">
    <w:name w:val="Intense Emphasis"/>
    <w:basedOn w:val="93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58">
    <w:name w:val="Intense Quote"/>
    <w:basedOn w:val="928"/>
    <w:next w:val="928"/>
    <w:link w:val="95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59" w:customStyle="1">
    <w:name w:val="Выделенная цитата Знак"/>
    <w:basedOn w:val="938"/>
    <w:link w:val="95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60">
    <w:name w:val="Intense Reference"/>
    <w:basedOn w:val="93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961">
    <w:name w:val="Table Grid"/>
    <w:basedOn w:val="939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2">
    <w:name w:val="Hyperlink"/>
    <w:basedOn w:val="9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3" w:customStyle="1">
    <w:name w:val="Unresolved Mention"/>
    <w:basedOn w:val="93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64">
    <w:name w:val="annotation reference"/>
    <w:basedOn w:val="93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65">
    <w:name w:val="annotation text"/>
    <w:basedOn w:val="928"/>
    <w:link w:val="96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66" w:customStyle="1">
    <w:name w:val="Текст примечания Знак"/>
    <w:basedOn w:val="938"/>
    <w:link w:val="965"/>
    <w:uiPriority w:val="99"/>
    <w:semiHidden/>
    <w:pPr>
      <w:pBdr/>
      <w:spacing/>
      <w:ind/>
    </w:pPr>
    <w:rPr>
      <w:sz w:val="20"/>
      <w:szCs w:val="20"/>
    </w:rPr>
  </w:style>
  <w:style w:type="paragraph" w:styleId="967">
    <w:name w:val="annotation subject"/>
    <w:basedOn w:val="965"/>
    <w:next w:val="965"/>
    <w:link w:val="968"/>
    <w:uiPriority w:val="99"/>
    <w:semiHidden/>
    <w:unhideWhenUsed/>
    <w:pPr>
      <w:pBdr/>
      <w:spacing/>
      <w:ind/>
    </w:pPr>
    <w:rPr>
      <w:b/>
      <w:bCs/>
    </w:rPr>
  </w:style>
  <w:style w:type="character" w:styleId="968" w:customStyle="1">
    <w:name w:val="Тема примечания Знак"/>
    <w:basedOn w:val="966"/>
    <w:link w:val="96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69">
    <w:name w:val="Balloon Text"/>
    <w:basedOn w:val="928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0" w:customStyle="1">
    <w:name w:val="Текст выноски Знак"/>
    <w:basedOn w:val="938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vestryazan.ru/ru/page/zayavka_na_invest_proek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revision>80</cp:revision>
  <dcterms:created xsi:type="dcterms:W3CDTF">2026-01-13T10:01:00Z</dcterms:created>
  <dcterms:modified xsi:type="dcterms:W3CDTF">2026-02-19T12:48:34Z</dcterms:modified>
</cp:coreProperties>
</file>