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273F71D" w14:textId="2B9A06A5"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Инвестиционный паспорт площадки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Style w:val="961"/>
        <w:tblW w:w="15275" w:type="dxa"/>
        <w:tblBorders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>
        <w:trPr/>
        <w:tc>
          <w:tcPr>
            <w:tcBorders/>
            <w:tcW w:w="817" w:type="dxa"/>
            <w:textDirection w:val="lrTb"/>
            <w:noWrap w:val="false"/>
          </w:tcPr>
          <w:p w14:paraId="3550B35D" w14:textId="4CCEE486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/П</w:t>
            </w:r>
            <w:r>
              <w:rPr>
                <w:rFonts w:ascii="Times New Roman" w:hAnsi="Times New Roman" w:cs="Times New Roman"/>
              </w:rPr>
              <w:br/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3FDB606" w14:textId="0128B12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73CE9B5" w14:textId="7777777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2D3B13C2" w14:textId="66258333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Статус площадки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62EF69D" w14:textId="7E8A611C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2B7C339" w14:textId="3E70087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Статус Площадки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EC9218C" w14:textId="6B02C88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4EDA2692" w14:textId="09425038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Сведения об объекте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731759D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F79CF37" w14:textId="5E5D0272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3A3802B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площадью 3</w:t>
            </w:r>
            <w:r>
              <w:rPr>
                <w:rFonts w:ascii="Times New Roman" w:hAnsi="Times New Roman" w:cs="Times New Roman"/>
              </w:rPr>
              <w:t xml:space="preserve"> га </w:t>
            </w:r>
            <w:r>
              <w:rPr>
                <w:rFonts w:ascii="Times New Roman" w:hAnsi="Times New Roman" w:cs="Times New Roman"/>
              </w:rPr>
              <w:t xml:space="preserve">с условно-разрешенным видом использования отдых (рекреация)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ка</w:t>
            </w:r>
            <w:r>
              <w:rPr>
                <w:rFonts w:ascii="Times New Roman" w:hAnsi="Times New Roman" w:cs="Times New Roman"/>
              </w:rPr>
              <w:t xml:space="preserve">дастровом квартале 62:05:2790601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2CD21BC" w14:textId="1DBC7A9E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2940F20" w14:textId="714900D1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Преференциальный режим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51512B2" w14:textId="1EF2398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F11275B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01F8835" w14:textId="1DA9A345">
            <w:p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240CEAB" w14:textId="4D968C52">
            <w:pPr>
              <w:pBdr/>
              <w:spacing/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F0FC3B9" w14:textId="62B8B439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AD48E50" w14:textId="0DF436D0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7646183" w14:textId="736C5A6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льгот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705A32A4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F55B444" w14:textId="0FE93E66">
            <w:p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5F163C1" w14:textId="66EC14AB">
            <w:pPr>
              <w:pBdr/>
              <w:spacing/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5238C27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FC4834A" w14:textId="1D103B3B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Индустриальные парки и промышленные технопарки из ГИСИП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0EDA6E5" w14:textId="1ED4D0ED">
            <w:pPr>
              <w:pBdr/>
              <w:spacing/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19EB9DD" w14:textId="62E6CAB8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14D354B" w14:textId="2AE3FA9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A024834" w14:textId="1DF93690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Рязан</w:t>
            </w:r>
            <w:r>
              <w:rPr>
                <w:rFonts w:ascii="Times New Roman" w:hAnsi="Times New Roman" w:cs="Times New Roman"/>
              </w:rPr>
              <w:t xml:space="preserve">ская 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0CE4353" w14:textId="4AFBD0C8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3F9B90B" w14:textId="6DC831E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737798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Клепиковский</w:t>
            </w:r>
            <w:r>
              <w:rPr>
                <w:rFonts w:ascii="Times New Roman" w:hAnsi="Times New Roman" w:cs="Times New Roman"/>
              </w:rPr>
              <w:t xml:space="preserve"> муниципальный округ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79"/>
        </w:trPr>
        <w:tc>
          <w:tcPr>
            <w:tcBorders/>
            <w:tcW w:w="817" w:type="dxa"/>
            <w:textDirection w:val="lrTb"/>
            <w:noWrap w:val="false"/>
          </w:tcPr>
          <w:p w14:paraId="17FB3692" w14:textId="39855DA0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B693511" w14:textId="35AE00F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объекта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3C0EE77F">
            <w:pPr>
              <w:pBdr/>
              <w:spacing/>
              <w:ind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д</w:t>
            </w:r>
            <w:r>
              <w:rPr>
                <w:rFonts w:ascii="Times New Roman" w:hAnsi="Times New Roman" w:cs="Times New Roman"/>
              </w:rPr>
              <w:t xml:space="preserve">.Теребово</w:t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F8C2E1E" w14:textId="4C659C3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FD21601" w14:textId="721C061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Ближайший город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2953893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г.Спас-Клепики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7A8CA9A4" w14:textId="7126C2B1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154F124" w14:textId="0C367D90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Формат площадки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F97AF2D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AC95BA1" w14:textId="770802E6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9CD0D73" w14:textId="49CE7A7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площадки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EDFDBDD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Гринфилд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6F54D890" w14:textId="095A66D3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Приоритетная площадка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98C8DB9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025EBD1" w14:textId="12143EC1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Приоритетная площадка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29C6DCF" w14:textId="055767B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086EF6A8" w14:textId="0006574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Свободные площади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8A3AA3C" w14:textId="0964227A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9C68901" w14:textId="0B9FD39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собственности объекта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DED16DE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Государственная до разграничения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1E1F7F9A">
            <w:pPr>
              <w:pBdr/>
              <w:spacing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691F9DA5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E5CF765" w14:textId="618B4B9B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F8BA613" w14:textId="2733870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сделки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19AE9C4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0536E65E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Аренда через аукцион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4B6EF7B6" w14:textId="364897BB">
            <w:p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A4C0930" w14:textId="37E0565F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20944BC" w14:textId="6B226AF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E266434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B85E294" w14:textId="345E44EB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A5225E1" w14:textId="3E86BC5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Стоимость, руб./год за га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C83E19D" w14:textId="5AF9461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925E764" w14:textId="1F86AD03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E2ADEB1" w14:textId="7E620A4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Стоимость, руб./год за </w:t>
            </w:r>
            <w:r>
              <w:rPr>
                <w:rFonts w:ascii="Times New Roman" w:hAnsi="Times New Roman" w:cs="Times New Roman"/>
              </w:rPr>
              <w:t xml:space="preserve">кв.м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DADED56" w14:textId="2803B7F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7A901403" w14:textId="0CA80411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45CABFB" w14:textId="6A82FCE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 xml:space="preserve">max</w:t>
            </w:r>
            <w:r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D2C338D">
            <w:pPr>
              <w:pBdr/>
              <w:spacing/>
              <w:ind/>
              <w:rPr/>
            </w:pPr>
            <w:r>
              <w:t xml:space="preserve">3-10</w:t>
            </w:r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CBDA983" w14:textId="24B0A79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31D05E5" w14:textId="0B6CF33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определения стоимости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F08750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Кадастровая стоимость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45CE4968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Рыночная стоимость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0451895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  <w:r>
              <w:rPr>
                <w:rFonts w:ascii="Times New Roman" w:hAnsi="Times New Roman" w:cs="Times New Roman"/>
                <w:iCs/>
              </w:rPr>
              <w:t xml:space="preserve">.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5C45CD3B">
            <w:pPr>
              <w:pBdr/>
              <w:spacing/>
              <w:ind/>
              <w:rPr>
                <w:rFonts w:ascii="Times New Roman" w:hAnsi="Times New Roman" w:cs="Times New Roman"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Рыночная стоимость определяется в соответствии с Федеральным законом от 29.07.1998 г. №135-ФЗ «Об оценочной деятельности в Российской Федерации»</w:t>
            </w:r>
            <w:r>
              <w:rPr>
                <w:rFonts w:ascii="Times New Roman" w:hAnsi="Times New Roman" w:cs="Times New Roman"/>
                <w:iCs/>
                <w:color w:val="ed7d31" w:themeColor="accent2"/>
              </w:rPr>
            </w:r>
            <w:r>
              <w:rPr>
                <w:rFonts w:ascii="Times New Roman" w:hAnsi="Times New Roman" w:cs="Times New Roman"/>
                <w:iCs/>
                <w:color w:val="ed7d31" w:themeColor="accent2"/>
              </w:rPr>
            </w:r>
          </w:p>
          <w:p w14:paraId="3CBC8D67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F87F6E9" w14:textId="281A142A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E1841A7" w14:textId="39549C4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опасности объекта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E173044" w14:textId="7777777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EAD38CA" w14:textId="0B844D9A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6687473" w14:textId="612A4A0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Характеристики расположенных объектов капитального строительства (при наличии)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45414AB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 w14:paraId="7C4EC5FC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1CBC116F" w14:textId="482D39EF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8294639" w14:textId="6DA1C53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277E01B" w14:textId="2F4B30F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Свободная площадь ЗУ, га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727143F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3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533C557" w14:textId="7217B8A0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E265473" w14:textId="2A9E04A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Кадастровый номер ЗУ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0702A25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17CE856E" w14:textId="1312D6AD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8E17A97" w14:textId="6248A8D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Варианты разрешенного использования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00C10D4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Отдых (рекреация)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4E7523A0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18802F0" w14:textId="54C26AC3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F9FEAF3" w14:textId="41A69A4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Межевание ЗУ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32C9169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78770A1" w14:textId="4186925B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ACB5727" w14:textId="225C322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земель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E6025B1" w14:textId="6AD8AD8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3AE59AE1" w14:textId="4A74FFA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Параметры здания, сооружения, помещения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185ED651" w14:textId="62A98CE4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950A371" w14:textId="1C8F569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Свободная площадь здания, сооружения, помещения (кв. м)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59ADA7F" w14:textId="41F9D59E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798CFC2" w14:textId="1D8EECE2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C671760" w14:textId="7B6FB134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Кадастровый номер здания, сооружения, помещения *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9F885CF" w14:textId="3DBB69B1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B0D7055" w14:textId="0F225CB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D9B1ABD" w14:textId="57BC3A1A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Технические характеристики здания, сооружения, помещения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25D7E6E" w14:textId="59D273FB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</w:r>
            <w:r>
              <w:rPr>
                <w:rFonts w:ascii="Times New Roman" w:hAnsi="Times New Roman" w:cs="Times New Roman"/>
                <w:i/>
                <w:iCs/>
                <w:color w:val="ff0000"/>
              </w:rPr>
            </w:r>
            <w:r>
              <w:rPr>
                <w:rFonts w:ascii="Times New Roman" w:hAnsi="Times New Roman" w:cs="Times New Roman"/>
                <w:i/>
                <w:iCs/>
                <w:color w:val="ff0000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C92BE68" w14:textId="344B9E51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49F7791" w14:textId="46E0AC53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3D3A6615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Муниципальное образование – </w:t>
            </w:r>
            <w:r>
              <w:rPr>
                <w:rFonts w:ascii="Times New Roman" w:hAnsi="Times New Roman" w:cs="Times New Roman"/>
                <w:iCs/>
              </w:rPr>
              <w:t xml:space="preserve">Клепиковский</w:t>
            </w:r>
            <w:r>
              <w:rPr>
                <w:rFonts w:ascii="Times New Roman" w:hAnsi="Times New Roman" w:cs="Times New Roman"/>
                <w:iCs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7C1FAE4" w14:textId="540547FD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7C2E8A7" w14:textId="2C3EB2D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собственника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D2737C1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6200018824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17CA4DA" w14:textId="69A7A873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5CD3AC2" w14:textId="16364BB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Контактное лицо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3875203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Буланова Вера Владимировна, заместитель главы администрации по экономическим и финансовым вопросам – начальник управления финансов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159C6CF" w14:textId="5FF62110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C2CA973" w14:textId="2FBCEDD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>
              <w:rPr>
                <w:rFonts w:ascii="Times New Roman" w:hAnsi="Times New Roman" w:cs="Times New Roman"/>
              </w:rPr>
              <w:t xml:space="preserve">e-</w:t>
            </w:r>
            <w:r>
              <w:rPr>
                <w:rFonts w:ascii="Times New Roman" w:hAnsi="Times New Roman" w:cs="Times New Roman"/>
              </w:rPr>
              <w:t xml:space="preserve">mail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8603CEE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+7(49142)26642, 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fku</w:t>
            </w:r>
            <w:r>
              <w:rPr>
                <w:rFonts w:ascii="Times New Roman" w:hAnsi="Times New Roman" w:cs="Times New Roman"/>
                <w:iCs/>
              </w:rPr>
              <w:t xml:space="preserve">.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klepiki</w:t>
            </w:r>
            <w:r>
              <w:rPr>
                <w:rFonts w:ascii="Times New Roman" w:hAnsi="Times New Roman" w:cs="Times New Roman"/>
                <w:iCs/>
              </w:rPr>
              <w:t xml:space="preserve">@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ryazan</w:t>
            </w:r>
            <w:r>
              <w:rPr>
                <w:rFonts w:ascii="Times New Roman" w:hAnsi="Times New Roman" w:cs="Times New Roman"/>
                <w:iCs/>
              </w:rPr>
              <w:t xml:space="preserve">.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gov</w:t>
            </w:r>
            <w:r>
              <w:rPr>
                <w:rFonts w:ascii="Times New Roman" w:hAnsi="Times New Roman" w:cs="Times New Roman"/>
                <w:iCs/>
              </w:rPr>
              <w:t xml:space="preserve">.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FF3530C" w14:textId="005F4220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4C5EE78" w14:textId="5E616DC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96FADB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https://klepikovskiy.ryazan.gov.ru/activities/investitsii/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54C6FDB" w14:textId="61787AE6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06C078A" w14:textId="0295F6C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Примечание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B6A10F3" w14:textId="604585F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46E6A508" w14:textId="1C507B35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Техническое присоединение</w:t>
            </w:r>
            <w: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r>
            <w: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r>
          </w:p>
        </w:tc>
      </w:tr>
      <w:tr>
        <w:trPr>
          <w:trHeight w:val="837"/>
        </w:trPr>
        <w:tc>
          <w:tcPr>
            <w:tcBorders/>
            <w:tcW w:w="817" w:type="dxa"/>
            <w:vMerge w:val="restart"/>
            <w:textDirection w:val="lrTb"/>
            <w:noWrap w:val="false"/>
          </w:tcPr>
          <w:p w14:paraId="66A10EC3" w14:textId="660FA903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4BC04ED1" w14:textId="4EF24CAE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2B9C8B0F" w14:textId="0908F82C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Нет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6C1EB6E1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41225A8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6F431EDF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270BDAFE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1592C3FE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4CD5886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65DDA997" w14:textId="6D72C2CB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1FB10A1C" w14:textId="77777777">
            <w:pPr>
              <w:pBdr/>
              <w:spacing/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69DBC68F" w14:textId="58A3D1B6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</w:p>
          <w:p w14:paraId="6014E28C" w14:textId="0ED1D16F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Водоснабжение Тариф на потребление, руб./куб. м *</w:t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</w:p>
          <w:p w14:paraId="6369BA5E" w14:textId="0789570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71B4DE04" w14:textId="50F5B1B4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887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5077FBEA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6081FD8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0BA6129" w14:textId="77777777">
            <w:pPr>
              <w:numPr>
                <w:ilvl w:val="0"/>
                <w:numId w:val="10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E178DB3" w14:textId="77777777">
            <w:pPr>
              <w:numPr>
                <w:ilvl w:val="0"/>
                <w:numId w:val="10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634634FD" w14:textId="64A8782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Водоснабжение Тариф на транспортировку, руб./куб. м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292E2482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6D80B6D4" w14:textId="7CAF1523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469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2D273D49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5566EE43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8CF6AE3" w14:textId="77777777">
            <w:pPr>
              <w:numPr>
                <w:ilvl w:val="0"/>
                <w:numId w:val="10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3A86E914" w14:textId="77777777">
            <w:pPr>
              <w:numPr>
                <w:ilvl w:val="0"/>
                <w:numId w:val="10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59E16319" w14:textId="4A8C6C5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78446B8A" w14:textId="7777777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73DE8E9B" w14:textId="63CADC3E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2F36F3FB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A3AC31E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B5C350E" w14:textId="77777777">
            <w:pPr>
              <w:numPr>
                <w:ilvl w:val="0"/>
                <w:numId w:val="10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C2383AF" w14:textId="77777777">
            <w:pPr>
              <w:numPr>
                <w:ilvl w:val="0"/>
                <w:numId w:val="10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4B6C4E26" w14:textId="1FFB56E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r>
              <w:rPr>
                <w:rFonts w:ascii="Times New Roman" w:hAnsi="Times New Roman" w:cs="Times New Roman"/>
                <w:iCs/>
              </w:rPr>
              <w:t xml:space="preserve">куб.м</w:t>
            </w:r>
            <w:r>
              <w:rPr>
                <w:rFonts w:ascii="Times New Roman" w:hAnsi="Times New Roman" w:cs="Times New Roman"/>
                <w:iCs/>
              </w:rPr>
              <w:t xml:space="preserve">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14FEEF95" w14:textId="7870328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46AF4624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D229F6E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44B1C52" w14:textId="77777777">
            <w:pPr>
              <w:numPr>
                <w:ilvl w:val="0"/>
                <w:numId w:val="10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108A5C12" w14:textId="77777777">
            <w:pPr>
              <w:pBdr/>
              <w:spacing/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26FACFB2" w14:textId="687D589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7EFE9921" w14:textId="034F567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3CA20473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E918367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F6AC5CF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5E33634D" w14:textId="3E25A7E6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7475574A" w14:textId="5CAC8621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449EEC2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От индивидуальных колодцев и скважин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54A29550" w14:textId="15B5AD3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351AE503" w14:textId="2FC6AF0D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3D06CB2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DE6C2E1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28CEFFE4" w14:textId="743676CD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283B929D" w14:textId="1354BC8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Водоснабжение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212F3DAD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5C1F2C13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32EACF30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51B28B2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DF520B6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2FF4BD43" w14:textId="6158626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5B0D7055" w14:textId="2793A0AC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3B98A79E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A632A11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951CDED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255F1A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4625B8B1" w14:textId="750BDFF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Иные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1FB789E8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vMerge w:val="restart"/>
            <w:textDirection w:val="lrTb"/>
            <w:noWrap w:val="false"/>
          </w:tcPr>
          <w:p w14:paraId="5B648AC0" w14:textId="01D3D00E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3B2BC75C" w14:textId="0F956DA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198BE592" w14:textId="22B8957D">
            <w:pPr>
              <w:pStyle w:val="971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Нет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56A40E90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077156F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738D9B02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51CB5824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26234CDD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0161D892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13C91BFF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30E52D6F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7D3B0ADC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2BC4E138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007654E9" w14:textId="5D1C8FC8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25B47E4" w14:textId="403D045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Водоотведение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68D9A6C9" w14:textId="74D09CF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DBC0D43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255B36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CD178F8" w14:textId="77777777">
            <w:pPr>
              <w:numPr>
                <w:ilvl w:val="0"/>
                <w:numId w:val="11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3B1AC585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D1849E0" w14:textId="6DA37AB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Водоотведение Тариф на транспортировку, руб./куб. м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7D6BF95" w14:textId="02225EC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36DA8A77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8FECA3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1A1DCFA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19A75A09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4435BE5F" w14:textId="6821574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мощность, куб. м/ч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CD517B4" w14:textId="7B9B218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9F4DC8F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31BE33A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8CFDE50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99084B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83F6E25" w14:textId="7C28EFD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Свободная мощность, куб. м/ч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4712DE1" w14:textId="09632AF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19DD8D1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3F93884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9DF7757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CF207E4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5C259403" w14:textId="5C483516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28AC1D4B" w14:textId="3C732EC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509EA2F4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0DE3A49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86F05F2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7643DF77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4E0CE2B" w14:textId="329BECE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Сети водоотведения Пропускная способность, куб. м/ч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F521DDD" w14:textId="29D5555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E392F96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2E35B59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7340E3E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6313411B" w14:textId="3D9B84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4B587D1" w14:textId="4D279F5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24FCE2C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Индивидуальный септик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7328430D" w14:textId="7838B3E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253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37C197B4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8E5A0E5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C5A3620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6BDB47A8" w14:textId="51E48462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5658F6A9" w14:textId="29E1D7F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Водоотведение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30ED3DB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5D6A03BA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71DEF6E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2772846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1050F30E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C89099A" w14:textId="5E04703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мощность, куб. м/ч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041FE30" w14:textId="67C5EF1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6DEB57D8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895F70C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C3371AF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4C9D16D2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418164BC" w14:textId="7D510D6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Иные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9DB399D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vMerge w:val="restart"/>
            <w:textDirection w:val="lrTb"/>
            <w:noWrap w:val="false"/>
          </w:tcPr>
          <w:p w14:paraId="69238CD3" w14:textId="35E15525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13DE638E" w14:textId="36D7CF6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559DFD73" w14:textId="30FAE0C0">
            <w:pPr>
              <w:pStyle w:val="971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Возможно создание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06EC333B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67321212" w14:textId="23200FAD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19ED34B" w14:textId="4484316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Газоснабжение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3BFF8E0B" w14:textId="3696302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106BA22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A1F70DD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3397ED7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FC3CC8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658B443E" w14:textId="55E7F1B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>
              <w:rPr>
                <w:rFonts w:ascii="Times New Roman" w:hAnsi="Times New Roman" w:cs="Times New Roman"/>
                <w:iCs/>
              </w:rPr>
              <w:t xml:space="preserve">Тариф на транспортировку, руб./куб. м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2AC5E481" w14:textId="3AC1891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354721F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9AAC643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784B842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99D6D21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7706AD3" w14:textId="00B07918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Максимально допустимая мощность, куб. м./ч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EBEE057" w14:textId="2DB4A05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4258B58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F5F8AD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F5DDB61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EB5F587" w14:textId="5CB9E409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598F4FC" w14:textId="749C5EC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Свободная мощность, куб. </w:t>
            </w:r>
            <w:r>
              <w:rPr>
                <w:rFonts w:ascii="Times New Roman" w:hAnsi="Times New Roman" w:cs="Times New Roman"/>
                <w:iCs/>
              </w:rPr>
              <w:t xml:space="preserve">м/ч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7FB698D" w14:textId="05787F9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B74C4DD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9B10648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74AFA9B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27CEF37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DF1E1D4" w14:textId="0E81CCC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33715B7B" w14:textId="7AC407C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3717E4D3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AB23D22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2E009F6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37EAD638" w14:textId="334EE935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4728F07E" w14:textId="640C7F98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89EFCED" w14:textId="4D6BD036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253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502606B6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5DDC4351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60F540A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7517E6C3" w14:textId="3DF0CAFB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30FCAC98" w14:textId="2647419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Газоснабжение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68761078" w14:textId="3C6DB7D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8,606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8FEC73D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12E451A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71DDD66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6FC35BB5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34A21DCC" w14:textId="51CE005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Максимально допустимая мощность, куб. м./ч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A5DFC71" w14:textId="7F4CBE0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E006EE4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1AAF62B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6B2CB8D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4437CAB2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B67ECDA" w14:textId="45FC9A0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</w:t>
            </w:r>
            <w:r>
              <w:rPr>
                <w:rFonts w:ascii="Times New Roman" w:hAnsi="Times New Roman" w:cs="Times New Roman"/>
                <w:iCs/>
              </w:rPr>
              <w:t xml:space="preserve"> И</w:t>
            </w:r>
            <w:r>
              <w:rPr>
                <w:rFonts w:ascii="Times New Roman" w:hAnsi="Times New Roman" w:cs="Times New Roman"/>
                <w:iCs/>
              </w:rPr>
              <w:t xml:space="preserve">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16752861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Населенный пункт </w:t>
            </w:r>
            <w:r>
              <w:rPr>
                <w:rFonts w:ascii="Times New Roman" w:hAnsi="Times New Roman" w:cs="Times New Roman"/>
                <w:iCs/>
              </w:rPr>
              <w:t xml:space="preserve">д.Теребово</w:t>
            </w:r>
            <w:r>
              <w:rPr>
                <w:rFonts w:ascii="Times New Roman" w:hAnsi="Times New Roman" w:cs="Times New Roman"/>
                <w:iCs/>
              </w:rPr>
              <w:t xml:space="preserve"> газифицирован.</w:t>
            </w:r>
            <w: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Газопровод межпоселковый высокого давления с кадастровым номером 62:05:0000000:463 пересекает </w:t>
            </w:r>
            <w:r>
              <w:rPr>
                <w:rFonts w:ascii="Times New Roman" w:hAnsi="Times New Roman" w:cs="Times New Roman"/>
                <w:iCs/>
              </w:rPr>
              <w:t xml:space="preserve">указанную территорию. Техническая возможность подключения имеется. Предельная свободная мощность в точке подключения составляет 5 </w:t>
            </w:r>
            <w:r>
              <w:rPr>
                <w:rFonts w:ascii="Times New Roman" w:hAnsi="Times New Roman" w:cs="Times New Roman"/>
                <w:iCs/>
              </w:rPr>
              <w:t xml:space="preserve">м.куб</w:t>
            </w:r>
            <w:r>
              <w:rPr>
                <w:rFonts w:ascii="Times New Roman" w:hAnsi="Times New Roman" w:cs="Times New Roman"/>
                <w:iCs/>
              </w:rPr>
              <w:t xml:space="preserve">./час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restart"/>
            <w:textDirection w:val="lrTb"/>
            <w:noWrap w:val="false"/>
          </w:tcPr>
          <w:p w14:paraId="7164CF40" w14:textId="208C3ECB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436FC8CE" w14:textId="3A8AD90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327758BC" w14:textId="407013CA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Возможно создание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1E71369E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 w14:paraId="4A5E4B07" w14:textId="40F2A625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10EF3B25" w14:textId="4A4C63C8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Электроснабжение Тариф на потребление, руб./МВт*ч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2C325A8" w14:textId="3DE0967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D462ED7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87FD549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B260990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7D49D46B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1466F77F" w14:textId="5A0B11D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Электроснабжение Тариф на транспортировку, руб./МВт*ч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D3188E5" w14:textId="6BF8D93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3EA3D9E1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EEA6681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16B2D90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37BFF130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59948C49" w14:textId="6D217C5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Максимально допустимая мощность, МВт/ч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32D6C228" w14:textId="44B24DE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5F7E8877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4461B0B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088385B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64E6E036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83459B4" w14:textId="480236E1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Свободная мощность, МВт/ч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B61F8F3" w14:textId="07645E6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7C70FB56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566FFDD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B72913C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653A7D5E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FE85F6F" w14:textId="4CA4BBC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60A1E875" w14:textId="308779E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7F282B5A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3140EB6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3852F0F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576B5593" w14:textId="526831CE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4BBEBD72" w14:textId="3B19DDA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6F769E78" w14:textId="585D5C6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253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48051130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05712C4B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1BCE228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263CF91E" w14:textId="10212B1D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C2DAC8C" w14:textId="59F774E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Электроснабжение Тариф на потребление, руб./МВт*ч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F41369F" w14:textId="6F7E1C7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5,07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7831D406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A9FE4C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5317ECF9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7EAE805" w14:textId="4C8CCFCC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69D3E04E" w14:textId="5BABD5A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Максимально допустимая мощность, МВт/ч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050FE09" w14:textId="3E244A4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0,82</w:t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871FC26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7E30EA6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0CB5F623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3BB04B8C" w14:textId="311D7590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54F017D" w14:textId="4379B9C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Иные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263C252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Ближайшим открытым центром питания является ПС </w:t>
            </w:r>
            <w:r>
              <w:rPr>
                <w:rFonts w:ascii="Times New Roman" w:hAnsi="Times New Roman" w:cs="Times New Roman"/>
                <w:iCs/>
              </w:rPr>
              <w:t xml:space="preserve">Клепики</w:t>
            </w:r>
            <w:r>
              <w:rPr>
                <w:rFonts w:ascii="Times New Roman" w:hAnsi="Times New Roman" w:cs="Times New Roman"/>
                <w:iCs/>
              </w:rPr>
              <w:t xml:space="preserve">, имеющая текущий резерв мощности для технологического присоединения 0,82 МВт.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restart"/>
            <w:textDirection w:val="lrTb"/>
            <w:noWrap w:val="false"/>
          </w:tcPr>
          <w:p w14:paraId="4D75A27D" w14:textId="3F51ADC4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34E76476" w14:textId="2008A73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2C05CE8C" w14:textId="4D0B3D0B">
            <w:pPr>
              <w:pStyle w:val="971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Нет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171F27C4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 w14:paraId="1D77C722" w14:textId="111EFF29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A6FF297" w14:textId="4C78EB0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Теплоснабжение Тариф на потребление, руб./Гкал*ч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D515108" w14:textId="4331B24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3FDD529A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8B6A893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026DE5F3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4D1B46E3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A7B415E" w14:textId="46A1680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Теплоснабжение Тариф на транспортировку, руб./Гкал*ч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58787E4" w14:textId="64911B1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62DE7C57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0C5509AC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560CCD3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D9E7D1D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4329FCC" w14:textId="68B68435">
            <w:pPr>
              <w:pBdr/>
              <w:tabs>
                <w:tab w:val="left" w:leader="none" w:pos="1590"/>
              </w:tabs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5291BEB" w14:textId="2DCA391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4258E7B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FD7E138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7E807B2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B7C164D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52704B42" w14:textId="7EBA9CC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Свободная мощность, Гкал/ч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3904012A" w14:textId="41FE315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A38CE34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04B6E5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8D5DEF2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7FD6B8BC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6B7A07CB" w14:textId="3FD3701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389EE8E" w14:textId="4FB73FE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16D4113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766322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69E90C8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2C250C51" w14:textId="40763B9C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4565A17" w14:textId="32108F6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1FCAF5F4" w14:textId="441B595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253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6F3AFFEC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578EF8E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B8AE6F0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2ACA628D" w14:textId="76623868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31337B23" w14:textId="653B836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Теплоснабжение Тариф на потребление, руб./Гкал*ч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1F07C53C" w14:textId="683EF89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0419B15F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8B63D96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265868C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7BE787A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C4B9629" w14:textId="349D2CF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ACC9F33" w14:textId="52D42D4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2DB0103" w14:textId="77777777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6C283B7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F43E317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A6BBA80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1DEB5D6" w14:textId="652114D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Иные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7F2BDD2" w14:textId="30D99D8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4BEB76D0" w14:textId="6F84F8B0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Вывоз твердых коммунальных отходов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D146BE2" w14:textId="3B83FEA3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37BAB06" w14:textId="57C6BB1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ТКО Наличие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A5CCAA3" w14:textId="781EE2A5"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Возможно создание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2BB8BB6" w14:textId="51CC832A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FEB82DD" w14:textId="020B889B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ТКО Тариф, руб./тонна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907FF2C" w14:textId="4206A7C8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5155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3205FA2" w14:textId="2DD0B4D5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C01A0C4" w14:textId="0F84429B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ТКО Тариф, руб./куб. м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5817404" w14:textId="2BF16E5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701,94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57E62EBB" w14:textId="0A14672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479BF04" w14:textId="3AB6094D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DA1DEAF" w14:textId="149115F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5E8BE70" w14:textId="3A797F84"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Возможно создание</w:t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7B992457" w14:textId="748F921B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D140D19" w14:textId="4F9ECAA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ж/д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5475CB6" w14:textId="3799C601"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Нет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BE5AF2C" w14:textId="42E50C6C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57DE0B7" w14:textId="030BE98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92279A7" w14:textId="3BD19A3F"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Нет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10C0D850" w14:textId="681A5363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1373726" w14:textId="73FC8421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характеристики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E4B8E96" w14:textId="214DE224">
            <w:pPr>
              <w:pBdr/>
              <w:spacing/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59E2732F" w14:textId="5DB15C1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Дополнительные сведения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E038F77" w14:textId="54FDFA18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9A393FB" w14:textId="2B01406B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43AEF2D" w14:textId="15093052">
            <w:pPr>
              <w:pBdr/>
              <w:spacing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7370F685" w14:textId="63F638AF">
            <w:pPr>
              <w:pStyle w:val="956"/>
              <w:pBdr/>
              <w:spacing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r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 xml:space="preserve">до 3 рабочих дней).</w:t>
            </w:r>
            <w:r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( </w:t>
            </w:r>
            <w:r>
              <w:rPr>
                <w:rFonts w:ascii="Times New Roman" w:hAnsi="Times New Roman" w:cs="Times New Roman"/>
              </w:rPr>
              <w:t xml:space="preserve">д</w:t>
            </w:r>
            <w:r>
              <w:rPr>
                <w:rFonts w:ascii="Times New Roman" w:hAnsi="Times New Roman" w:cs="Times New Roman"/>
              </w:rPr>
              <w:t xml:space="preserve">о 5 рабочих дней).</w:t>
            </w:r>
            <w:r>
              <w:rPr>
                <w:rFonts w:ascii="Times New Roman" w:hAnsi="Times New Roman" w:cs="Times New Roman"/>
              </w:rPr>
              <w:br/>
              <w:t xml:space="preserve"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( до 20 рабочих дней).</w:t>
            </w:r>
            <w:r>
              <w:rPr>
                <w:rFonts w:ascii="Times New Roman" w:hAnsi="Times New Roman" w:cs="Times New Roman"/>
              </w:rPr>
              <w:br/>
              <w:t xml:space="preserve"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 xml:space="preserve">смотра инвестиционных площадок.</w:t>
            </w:r>
            <w:r>
              <w:rPr>
                <w:rFonts w:ascii="Times New Roman" w:hAnsi="Times New Roman" w:cs="Times New Roman"/>
              </w:rPr>
              <w:br/>
              <w:t xml:space="preserve"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 xml:space="preserve">очих дней, со дня регистрации).</w:t>
            </w:r>
            <w:r>
              <w:rPr>
                <w:rFonts w:ascii="Times New Roman" w:hAnsi="Times New Roman" w:cs="Times New Roman"/>
              </w:rPr>
              <w:br/>
              <w:t xml:space="preserve">7. В течение 5 рабочих дней с момента получения субъектом соглашения осуществляется его подписание.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BE7F2A4" w14:textId="2E705199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C545E9C" w14:textId="49E6BA1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9AD68A6" w14:textId="7777777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Заявка на сопровождение инвестиционного проекта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5C946DE9" w14:textId="77777777">
            <w:pPr>
              <w:pBdr/>
              <w:tabs>
                <w:tab w:val="left" w:leader="none" w:pos="1470"/>
              </w:tabs>
              <w:spacing/>
              <w:ind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2. Учредительные документы организации.</w:t>
            </w:r>
            <w:r>
              <w:rPr>
                <w:rFonts w:ascii="Times New Roman" w:hAnsi="Times New Roman" w:cs="Times New Roman"/>
                <w:bCs/>
                <w:iCs/>
              </w:rPr>
            </w:r>
            <w:r>
              <w:rPr>
                <w:rFonts w:ascii="Times New Roman" w:hAnsi="Times New Roman" w:cs="Times New Roman"/>
                <w:bCs/>
                <w:iCs/>
              </w:rPr>
            </w:r>
          </w:p>
          <w:p w14:paraId="45497A08" w14:textId="77777777">
            <w:pPr>
              <w:pBdr/>
              <w:tabs>
                <w:tab w:val="left" w:leader="none" w:pos="1470"/>
              </w:tabs>
              <w:spacing/>
              <w:ind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3. Паспорт проекта или бизнес-план с финансово-экономическим обоснованием.</w:t>
            </w:r>
            <w:r>
              <w:rPr>
                <w:rFonts w:ascii="Times New Roman" w:hAnsi="Times New Roman" w:cs="Times New Roman"/>
                <w:bCs/>
                <w:iCs/>
              </w:rPr>
            </w:r>
            <w:r>
              <w:rPr>
                <w:rFonts w:ascii="Times New Roman" w:hAnsi="Times New Roman" w:cs="Times New Roman"/>
                <w:bCs/>
                <w:iCs/>
              </w:rPr>
            </w:r>
          </w:p>
          <w:p w14:paraId="7BBE6920" w14:textId="02422194">
            <w:pPr>
              <w:pBdr/>
              <w:tabs>
                <w:tab w:val="left" w:leader="none" w:pos="1470"/>
              </w:tabs>
              <w:spacing/>
              <w:ind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4. Документы, подтверждающие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ивными условиями кредитования).</w:t>
            </w:r>
            <w:r>
              <w:rPr>
                <w:rFonts w:ascii="Times New Roman" w:hAnsi="Times New Roman" w:cs="Times New Roman"/>
                <w:bCs/>
                <w:iCs/>
              </w:rPr>
            </w:r>
            <w:r>
              <w:rPr>
                <w:rFonts w:ascii="Times New Roman" w:hAnsi="Times New Roman" w:cs="Times New Roman"/>
                <w:bCs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D8E7F47" w14:textId="25F71D1F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EB59D7C" w14:textId="6BB1C46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8677DF5" w14:textId="48F557E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office@rrdc.ru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7BE2659" w14:textId="1424ED21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4D21420" w14:textId="1DC8B502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A5AE9C3" w14:textId="6030427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/>
            <w:hyperlink r:id="rId10" w:tooltip="https://investryazan.ru/ru/page/zayavka_na_invest_proekt" w:history="1">
              <w:r>
                <w:rPr>
                  <w:rStyle w:val="962"/>
                  <w:rFonts w:ascii="Times New Roman" w:hAnsi="Times New Roman" w:cs="Times New Roman"/>
                </w:rPr>
                <w:t xml:space="preserve">https://investryazan.ru/ru/page/zayavka_na_invest_proekt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1B52F192" w14:textId="67A9CDAC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80A4136" w14:textId="77B01FF2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3F3EFA3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 - Строительство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22E7FD7E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8D5D194" w14:textId="784432A5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DD5F9ED" w14:textId="2C9D803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Градостроительные характеристики и ограничения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06020C0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Ограничения в использовании: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34C4A78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ЗОУИТ реестровый номер 62:05-6.39 Охранная зона объекта электросетевого хозяйства-воздушной линии электропередачи ВЛ-10 </w:t>
            </w:r>
            <w:r>
              <w:rPr>
                <w:rFonts w:ascii="Times New Roman" w:hAnsi="Times New Roman" w:cs="Times New Roman"/>
              </w:rPr>
              <w:t xml:space="preserve">кВ</w:t>
            </w:r>
            <w:r>
              <w:rPr>
                <w:rFonts w:ascii="Times New Roman" w:hAnsi="Times New Roman" w:cs="Times New Roman"/>
              </w:rPr>
              <w:t xml:space="preserve"> №27 от ПС </w:t>
            </w:r>
            <w:r>
              <w:rPr>
                <w:rFonts w:ascii="Times New Roman" w:hAnsi="Times New Roman" w:cs="Times New Roman"/>
              </w:rPr>
              <w:t xml:space="preserve">Клепики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3D4D0BB3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ЗОУИТ реестровый номер 62:05-6.63 – территория национальный парк «Мещерский»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081D1103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ЗОУИТ реестровый номер 62:05-6.407 Прибрежная защитная полоса участков реки </w:t>
            </w:r>
            <w:r>
              <w:rPr>
                <w:rFonts w:ascii="Times New Roman" w:hAnsi="Times New Roman" w:cs="Times New Roman"/>
              </w:rPr>
              <w:t xml:space="preserve">Пра</w:t>
            </w:r>
            <w:r>
              <w:rPr>
                <w:rFonts w:ascii="Times New Roman" w:hAnsi="Times New Roman" w:cs="Times New Roman"/>
              </w:rPr>
              <w:t xml:space="preserve"> на территории Рязанской области (часть 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486D6BF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ЗОУИТ реестровый номер 62:05-6.408 </w:t>
            </w:r>
            <w:r>
              <w:rPr>
                <w:rFonts w:ascii="Times New Roman" w:hAnsi="Times New Roman" w:cs="Times New Roman"/>
              </w:rPr>
              <w:t xml:space="preserve">Водоохранная</w:t>
            </w:r>
            <w:r>
              <w:rPr>
                <w:rFonts w:ascii="Times New Roman" w:hAnsi="Times New Roman" w:cs="Times New Roman"/>
              </w:rPr>
              <w:t xml:space="preserve"> зона участков реки </w:t>
            </w:r>
            <w:r>
              <w:rPr>
                <w:rFonts w:ascii="Times New Roman" w:hAnsi="Times New Roman" w:cs="Times New Roman"/>
              </w:rPr>
              <w:t xml:space="preserve">Пра</w:t>
            </w:r>
            <w:r>
              <w:rPr>
                <w:rFonts w:ascii="Times New Roman" w:hAnsi="Times New Roman" w:cs="Times New Roman"/>
              </w:rPr>
              <w:t xml:space="preserve"> на территории Рязанской области (часть 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61A21143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ЗОУИТ 62:05-6.1437 Охранная зона инженерных коммуникаций (Сооружение - газопровод межпоселковый от точки врезки Т.1 до Т.5 ШГРП №1 д.Левино-1, Т.11 ШГРП №4 </w:t>
            </w:r>
            <w:r>
              <w:rPr>
                <w:rFonts w:ascii="Times New Roman" w:hAnsi="Times New Roman" w:cs="Times New Roman"/>
              </w:rPr>
              <w:t xml:space="preserve">с.Подлипки</w:t>
            </w:r>
            <w:r>
              <w:rPr>
                <w:rFonts w:ascii="Times New Roman" w:hAnsi="Times New Roman" w:cs="Times New Roman"/>
              </w:rPr>
              <w:t xml:space="preserve"> Т.15 ШГРП №5 база охотника, Т.18 ШГРП №6 д. </w:t>
            </w:r>
            <w:r>
              <w:rPr>
                <w:rFonts w:ascii="Times New Roman" w:hAnsi="Times New Roman" w:cs="Times New Roman"/>
              </w:rPr>
              <w:t xml:space="preserve">Теребово</w:t>
            </w:r>
            <w:r>
              <w:rPr>
                <w:rFonts w:ascii="Times New Roman" w:hAnsi="Times New Roman" w:cs="Times New Roman"/>
              </w:rPr>
              <w:t xml:space="preserve">, Т.23 ШГРП №2, Т.26 ШГРП №3 </w:t>
            </w:r>
            <w:r>
              <w:rPr>
                <w:rFonts w:ascii="Times New Roman" w:hAnsi="Times New Roman" w:cs="Times New Roman"/>
              </w:rPr>
              <w:t xml:space="preserve">д.Владычино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77D79661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A922D53" w14:textId="6B57EB1C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4E186E5" w14:textId="50649F3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B00CC70" w14:textId="403DE1D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7EF5918" w14:textId="26E38516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439DBF0" w14:textId="02CA1E1F">
            <w:pPr>
              <w:pBdr/>
              <w:spacing/>
              <w:ind/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AB76771" w14:textId="01019BBB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FF801CF" w14:textId="017576D6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86A46D4" w14:textId="79766BC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Документы территориального планирования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02C0AAF" w14:textId="35C0183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E7CC964" w14:textId="125C9B0E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446F7A3" w14:textId="0F81875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8A60176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D3EDEA4" w14:textId="05B51B1E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FF02A6B" w14:textId="279B855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Документы по объекту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59B770B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93"/>
        </w:trPr>
        <w:tc>
          <w:tcPr>
            <w:gridSpan w:val="7"/>
            <w:tcBorders/>
            <w:tcW w:w="15275" w:type="dxa"/>
            <w:textDirection w:val="lrTb"/>
            <w:noWrap w:val="false"/>
          </w:tcPr>
          <w:p w14:paraId="6C7CB50D" w14:textId="758D6DC0"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Координаты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845"/>
        </w:trPr>
        <w:tc>
          <w:tcPr>
            <w:tcBorders/>
            <w:tcW w:w="817" w:type="dxa"/>
            <w:textDirection w:val="lrTb"/>
            <w:noWrap w:val="false"/>
          </w:tcPr>
          <w:p w14:paraId="2162F35B" w14:textId="0FDE0144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C1EAA0C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038EDAE">
            <w:pPr>
              <w:pBdr/>
              <w:spacing/>
              <w:ind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55.1508126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  <w:tr>
        <w:trPr>
          <w:trHeight w:val="843"/>
        </w:trPr>
        <w:tc>
          <w:tcPr>
            <w:tcBorders/>
            <w:tcW w:w="817" w:type="dxa"/>
            <w:textDirection w:val="lrTb"/>
            <w:noWrap w:val="false"/>
          </w:tcPr>
          <w:p w14:paraId="642CF80F" w14:textId="52E341BD">
            <w:pPr>
              <w:pStyle w:val="95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C3550D6" w14:textId="073022C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BADF59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40.0536941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146ADF1D" w14:textId="491F6140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 w14:paraId="59A40AB6" w14:textId="16FD82F7"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14D9E752" w14:textId="048CFC25">
      <w:pPr>
        <w:pBdr/>
        <w:spacing/>
        <w:ind/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* - Пункты обязательны к заполнению, либо обязательны к заполнению с условием</w:t>
      </w:r>
      <w: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r>
    </w:p>
    <w:sectPr>
      <w:footnotePr/>
      <w:endnotePr/>
      <w:type w:val="nextPage"/>
      <w:pgSz w:h="11906" w:orient="landscape" w:w="16838"/>
      <w:pgMar w:top="1701" w:right="1134" w:bottom="850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7C9A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">
    <w:nsid w:val="0201145E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nsid w:val="04EB4DAD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nsid w:val="07C40CF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09B763A6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107C2AB0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">
    <w:nsid w:val="1DF5007A"/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hint="default" w:ascii="Symbol" w:hAnsi="Symbol"/>
        <w:sz w:val="1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7">
    <w:nsid w:val="1EBA0521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">
    <w:nsid w:val="27F87FC7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nsid w:val="376F6425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0">
    <w:nsid w:val="3E1F66AC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1">
    <w:nsid w:val="3F4F0B64"/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nsid w:val="40CF0889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3">
    <w:nsid w:val="4A99139C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4">
    <w:nsid w:val="4DC255B3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5">
    <w:nsid w:val="4E351E8C"/>
    <w:lvl w:ilvl="0">
      <w:isLgl w:val="false"/>
      <w:lvlJc w:val="left"/>
      <w:lvlText w:val="%1"/>
      <w:numFmt w:val="decimal"/>
      <w:pPr>
        <w:pBdr/>
        <w:spacing/>
        <w:ind w:hanging="550" w:left="720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nsid w:val="4F070EDF"/>
    <w:lvl w:ilvl="0">
      <w:isLgl w:val="false"/>
      <w:lvlJc w:val="left"/>
      <w:lvlText w:val="%1."/>
      <w:numFmt w:val="decimal"/>
      <w:pPr>
        <w:pBdr/>
        <w:spacing/>
        <w:ind w:hanging="360" w:left="39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1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3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5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7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9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1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3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58"/>
      </w:pPr>
      <w:rPr/>
      <w:start w:val="1"/>
      <w:suff w:val="tab"/>
    </w:lvl>
  </w:abstractNum>
  <w:abstractNum w:abstractNumId="17">
    <w:nsid w:val="52500B4A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8">
    <w:nsid w:val="53C74053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9">
    <w:nsid w:val="65757E88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0">
    <w:nsid w:val="6747520B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nsid w:val="69937581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2">
    <w:nsid w:val="6ADE0A2D"/>
    <w:lvl w:ilvl="0">
      <w:isLgl w:val="false"/>
      <w:lvlJc w:val="left"/>
      <w:lvlText w:val="%1."/>
      <w:numFmt w:val="decimal"/>
      <w:pPr>
        <w:pBdr/>
        <w:spacing/>
        <w:ind w:hanging="360" w:left="75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18"/>
      </w:pPr>
      <w:rPr/>
      <w:start w:val="1"/>
      <w:suff w:val="tab"/>
    </w:lvl>
  </w:abstractNum>
  <w:abstractNum w:abstractNumId="23">
    <w:nsid w:val="72E5188B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4">
    <w:nsid w:val="7A270A88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5">
    <w:nsid w:val="04EB4DAD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6">
    <w:nsid w:val="0201145E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7">
    <w:nsid w:val="376F6425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8">
    <w:nsid w:val="4A99139C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9">
    <w:nsid w:val="04EB4DAD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1">
    <w:name w:val="Table Grid Light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1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2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1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2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3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5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6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6">
    <w:name w:val="Heading 1 Char"/>
    <w:basedOn w:val="938"/>
    <w:link w:val="9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87">
    <w:name w:val="Heading 2 Char"/>
    <w:basedOn w:val="938"/>
    <w:link w:val="9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88">
    <w:name w:val="Heading 3 Char"/>
    <w:basedOn w:val="938"/>
    <w:link w:val="9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89">
    <w:name w:val="Heading 4 Char"/>
    <w:basedOn w:val="938"/>
    <w:link w:val="9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0">
    <w:name w:val="Heading 5 Char"/>
    <w:basedOn w:val="938"/>
    <w:link w:val="9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1">
    <w:name w:val="Heading 6 Char"/>
    <w:basedOn w:val="938"/>
    <w:link w:val="9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2">
    <w:name w:val="Heading 7 Char"/>
    <w:basedOn w:val="938"/>
    <w:link w:val="9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3">
    <w:name w:val="Heading 8 Char"/>
    <w:basedOn w:val="938"/>
    <w:link w:val="9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4">
    <w:name w:val="Heading 9 Char"/>
    <w:basedOn w:val="938"/>
    <w:link w:val="9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5">
    <w:name w:val="Title Char"/>
    <w:basedOn w:val="938"/>
    <w:link w:val="95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96">
    <w:name w:val="Subtitle Char"/>
    <w:basedOn w:val="938"/>
    <w:link w:val="95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7">
    <w:name w:val="Quote Char"/>
    <w:basedOn w:val="938"/>
    <w:link w:val="95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8">
    <w:name w:val="Intense Quote Char"/>
    <w:basedOn w:val="938"/>
    <w:link w:val="95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9">
    <w:name w:val="Subtle Emphasis"/>
    <w:basedOn w:val="9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0">
    <w:name w:val="Emphasis"/>
    <w:basedOn w:val="938"/>
    <w:uiPriority w:val="20"/>
    <w:qFormat/>
    <w:pPr>
      <w:pBdr/>
      <w:spacing/>
      <w:ind/>
    </w:pPr>
    <w:rPr>
      <w:i/>
      <w:iCs/>
    </w:rPr>
  </w:style>
  <w:style w:type="character" w:styleId="901">
    <w:name w:val="Strong"/>
    <w:basedOn w:val="938"/>
    <w:uiPriority w:val="22"/>
    <w:qFormat/>
    <w:pPr>
      <w:pBdr/>
      <w:spacing/>
      <w:ind/>
    </w:pPr>
    <w:rPr>
      <w:b/>
      <w:bCs/>
    </w:rPr>
  </w:style>
  <w:style w:type="character" w:styleId="902">
    <w:name w:val="Subtle Reference"/>
    <w:basedOn w:val="9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3">
    <w:name w:val="Book Title"/>
    <w:basedOn w:val="9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4">
    <w:name w:val="Header"/>
    <w:basedOn w:val="928"/>
    <w:link w:val="90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5">
    <w:name w:val="Header Char"/>
    <w:basedOn w:val="938"/>
    <w:link w:val="904"/>
    <w:uiPriority w:val="99"/>
    <w:pPr>
      <w:pBdr/>
      <w:spacing/>
      <w:ind/>
    </w:pPr>
  </w:style>
  <w:style w:type="paragraph" w:styleId="906">
    <w:name w:val="Footer"/>
    <w:basedOn w:val="928"/>
    <w:link w:val="90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7">
    <w:name w:val="Footer Char"/>
    <w:basedOn w:val="938"/>
    <w:link w:val="906"/>
    <w:uiPriority w:val="99"/>
    <w:pPr>
      <w:pBdr/>
      <w:spacing/>
      <w:ind/>
    </w:pPr>
  </w:style>
  <w:style w:type="paragraph" w:styleId="908">
    <w:name w:val="Caption"/>
    <w:basedOn w:val="928"/>
    <w:next w:val="9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9">
    <w:name w:val="footnote text"/>
    <w:basedOn w:val="928"/>
    <w:link w:val="91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0">
    <w:name w:val="Footnote Text Char"/>
    <w:basedOn w:val="938"/>
    <w:link w:val="909"/>
    <w:uiPriority w:val="99"/>
    <w:semiHidden/>
    <w:pPr>
      <w:pBdr/>
      <w:spacing/>
      <w:ind/>
    </w:pPr>
    <w:rPr>
      <w:sz w:val="20"/>
      <w:szCs w:val="20"/>
    </w:rPr>
  </w:style>
  <w:style w:type="character" w:styleId="911">
    <w:name w:val="footnote reference"/>
    <w:basedOn w:val="938"/>
    <w:uiPriority w:val="99"/>
    <w:semiHidden/>
    <w:unhideWhenUsed/>
    <w:pPr>
      <w:pBdr/>
      <w:spacing/>
      <w:ind/>
    </w:pPr>
    <w:rPr>
      <w:vertAlign w:val="superscript"/>
    </w:rPr>
  </w:style>
  <w:style w:type="paragraph" w:styleId="912">
    <w:name w:val="endnote text"/>
    <w:basedOn w:val="928"/>
    <w:link w:val="91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3">
    <w:name w:val="Endnote Text Char"/>
    <w:basedOn w:val="938"/>
    <w:link w:val="912"/>
    <w:uiPriority w:val="99"/>
    <w:semiHidden/>
    <w:pPr>
      <w:pBdr/>
      <w:spacing/>
      <w:ind/>
    </w:pPr>
    <w:rPr>
      <w:sz w:val="20"/>
      <w:szCs w:val="20"/>
    </w:rPr>
  </w:style>
  <w:style w:type="character" w:styleId="914">
    <w:name w:val="endnote reference"/>
    <w:basedOn w:val="938"/>
    <w:uiPriority w:val="99"/>
    <w:semiHidden/>
    <w:unhideWhenUsed/>
    <w:pPr>
      <w:pBdr/>
      <w:spacing/>
      <w:ind/>
    </w:pPr>
    <w:rPr>
      <w:vertAlign w:val="superscript"/>
    </w:rPr>
  </w:style>
  <w:style w:type="character" w:styleId="915">
    <w:name w:val="FollowedHyperlink"/>
    <w:basedOn w:val="9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6">
    <w:name w:val="toc 1"/>
    <w:basedOn w:val="928"/>
    <w:next w:val="928"/>
    <w:uiPriority w:val="39"/>
    <w:unhideWhenUsed/>
    <w:pPr>
      <w:pBdr/>
      <w:spacing w:after="100"/>
      <w:ind/>
    </w:pPr>
  </w:style>
  <w:style w:type="paragraph" w:styleId="917">
    <w:name w:val="toc 2"/>
    <w:basedOn w:val="928"/>
    <w:next w:val="928"/>
    <w:uiPriority w:val="39"/>
    <w:unhideWhenUsed/>
    <w:pPr>
      <w:pBdr/>
      <w:spacing w:after="100"/>
      <w:ind w:left="220"/>
    </w:pPr>
  </w:style>
  <w:style w:type="paragraph" w:styleId="918">
    <w:name w:val="toc 3"/>
    <w:basedOn w:val="928"/>
    <w:next w:val="928"/>
    <w:uiPriority w:val="39"/>
    <w:unhideWhenUsed/>
    <w:pPr>
      <w:pBdr/>
      <w:spacing w:after="100"/>
      <w:ind w:left="440"/>
    </w:pPr>
  </w:style>
  <w:style w:type="paragraph" w:styleId="919">
    <w:name w:val="toc 4"/>
    <w:basedOn w:val="928"/>
    <w:next w:val="928"/>
    <w:uiPriority w:val="39"/>
    <w:unhideWhenUsed/>
    <w:pPr>
      <w:pBdr/>
      <w:spacing w:after="100"/>
      <w:ind w:left="660"/>
    </w:pPr>
  </w:style>
  <w:style w:type="paragraph" w:styleId="920">
    <w:name w:val="toc 5"/>
    <w:basedOn w:val="928"/>
    <w:next w:val="928"/>
    <w:uiPriority w:val="39"/>
    <w:unhideWhenUsed/>
    <w:pPr>
      <w:pBdr/>
      <w:spacing w:after="100"/>
      <w:ind w:left="880"/>
    </w:pPr>
  </w:style>
  <w:style w:type="paragraph" w:styleId="921">
    <w:name w:val="toc 6"/>
    <w:basedOn w:val="928"/>
    <w:next w:val="928"/>
    <w:uiPriority w:val="39"/>
    <w:unhideWhenUsed/>
    <w:pPr>
      <w:pBdr/>
      <w:spacing w:after="100"/>
      <w:ind w:left="1100"/>
    </w:pPr>
  </w:style>
  <w:style w:type="paragraph" w:styleId="922">
    <w:name w:val="toc 7"/>
    <w:basedOn w:val="928"/>
    <w:next w:val="928"/>
    <w:uiPriority w:val="39"/>
    <w:unhideWhenUsed/>
    <w:pPr>
      <w:pBdr/>
      <w:spacing w:after="100"/>
      <w:ind w:left="1320"/>
    </w:pPr>
  </w:style>
  <w:style w:type="paragraph" w:styleId="923">
    <w:name w:val="toc 8"/>
    <w:basedOn w:val="928"/>
    <w:next w:val="928"/>
    <w:uiPriority w:val="39"/>
    <w:unhideWhenUsed/>
    <w:pPr>
      <w:pBdr/>
      <w:spacing w:after="100"/>
      <w:ind w:left="1540"/>
    </w:pPr>
  </w:style>
  <w:style w:type="paragraph" w:styleId="924">
    <w:name w:val="toc 9"/>
    <w:basedOn w:val="928"/>
    <w:next w:val="928"/>
    <w:uiPriority w:val="39"/>
    <w:unhideWhenUsed/>
    <w:pPr>
      <w:pBdr/>
      <w:spacing w:after="100"/>
      <w:ind w:left="1760"/>
    </w:pPr>
  </w:style>
  <w:style w:type="character" w:styleId="925">
    <w:name w:val="Placeholder Text"/>
    <w:basedOn w:val="938"/>
    <w:uiPriority w:val="99"/>
    <w:semiHidden/>
    <w:pPr>
      <w:pBdr/>
      <w:spacing/>
      <w:ind/>
    </w:pPr>
    <w:rPr>
      <w:color w:val="666666"/>
    </w:rPr>
  </w:style>
  <w:style w:type="paragraph" w:styleId="926">
    <w:name w:val="TOC Heading"/>
    <w:uiPriority w:val="39"/>
    <w:unhideWhenUsed/>
    <w:pPr>
      <w:pBdr/>
      <w:spacing/>
      <w:ind/>
    </w:pPr>
  </w:style>
  <w:style w:type="paragraph" w:styleId="927">
    <w:name w:val="table of figures"/>
    <w:basedOn w:val="928"/>
    <w:next w:val="928"/>
    <w:uiPriority w:val="99"/>
    <w:unhideWhenUsed/>
    <w:pPr>
      <w:pBdr/>
      <w:spacing w:after="0" w:afterAutospacing="0"/>
      <w:ind/>
    </w:pPr>
  </w:style>
  <w:style w:type="paragraph" w:styleId="928" w:default="1">
    <w:name w:val="Normal"/>
    <w:qFormat/>
    <w:pPr>
      <w:pBdr/>
      <w:spacing/>
      <w:ind/>
    </w:pPr>
  </w:style>
  <w:style w:type="paragraph" w:styleId="929">
    <w:name w:val="Heading 1"/>
    <w:basedOn w:val="928"/>
    <w:next w:val="928"/>
    <w:link w:val="94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930">
    <w:name w:val="Heading 2"/>
    <w:basedOn w:val="928"/>
    <w:next w:val="928"/>
    <w:link w:val="942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931">
    <w:name w:val="Heading 3"/>
    <w:basedOn w:val="928"/>
    <w:next w:val="928"/>
    <w:link w:val="943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932">
    <w:name w:val="Heading 4"/>
    <w:basedOn w:val="928"/>
    <w:next w:val="928"/>
    <w:link w:val="944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933">
    <w:name w:val="Heading 5"/>
    <w:basedOn w:val="928"/>
    <w:next w:val="928"/>
    <w:link w:val="945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934">
    <w:name w:val="Heading 6"/>
    <w:basedOn w:val="928"/>
    <w:next w:val="928"/>
    <w:link w:val="946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935">
    <w:name w:val="Heading 7"/>
    <w:basedOn w:val="928"/>
    <w:next w:val="928"/>
    <w:link w:val="947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936">
    <w:name w:val="Heading 8"/>
    <w:basedOn w:val="928"/>
    <w:next w:val="928"/>
    <w:link w:val="948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37">
    <w:name w:val="Heading 9"/>
    <w:basedOn w:val="928"/>
    <w:next w:val="928"/>
    <w:link w:val="949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938" w:default="1">
    <w:name w:val="Default Paragraph Font"/>
    <w:uiPriority w:val="1"/>
    <w:semiHidden/>
    <w:unhideWhenUsed/>
    <w:pPr>
      <w:pBdr/>
      <w:spacing/>
      <w:ind/>
    </w:pPr>
  </w:style>
  <w:style w:type="table" w:styleId="9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0" w:default="1">
    <w:name w:val="No List"/>
    <w:uiPriority w:val="99"/>
    <w:semiHidden/>
    <w:unhideWhenUsed/>
    <w:pPr>
      <w:pBdr/>
      <w:spacing/>
      <w:ind/>
    </w:pPr>
  </w:style>
  <w:style w:type="character" w:styleId="941" w:customStyle="1">
    <w:name w:val="Заголовок 1 Знак"/>
    <w:basedOn w:val="938"/>
    <w:link w:val="929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942" w:customStyle="1">
    <w:name w:val="Заголовок 2 Знак"/>
    <w:basedOn w:val="938"/>
    <w:link w:val="93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43" w:customStyle="1">
    <w:name w:val="Заголовок 3 Знак"/>
    <w:basedOn w:val="938"/>
    <w:link w:val="931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944" w:customStyle="1">
    <w:name w:val="Заголовок 4 Знак"/>
    <w:basedOn w:val="938"/>
    <w:link w:val="932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945" w:customStyle="1">
    <w:name w:val="Заголовок 5 Знак"/>
    <w:basedOn w:val="938"/>
    <w:link w:val="933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946" w:customStyle="1">
    <w:name w:val="Заголовок 6 Знак"/>
    <w:basedOn w:val="938"/>
    <w:link w:val="934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947" w:customStyle="1">
    <w:name w:val="Заголовок 7 Знак"/>
    <w:basedOn w:val="938"/>
    <w:link w:val="935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948" w:customStyle="1">
    <w:name w:val="Заголовок 8 Знак"/>
    <w:basedOn w:val="938"/>
    <w:link w:val="936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949" w:customStyle="1">
    <w:name w:val="Заголовок 9 Знак"/>
    <w:basedOn w:val="938"/>
    <w:link w:val="937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950">
    <w:name w:val="Title"/>
    <w:basedOn w:val="928"/>
    <w:next w:val="928"/>
    <w:link w:val="951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51" w:customStyle="1">
    <w:name w:val="Название Знак"/>
    <w:basedOn w:val="938"/>
    <w:link w:val="950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952">
    <w:name w:val="Subtitle"/>
    <w:basedOn w:val="928"/>
    <w:next w:val="928"/>
    <w:link w:val="953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953" w:customStyle="1">
    <w:name w:val="Подзаголовок Знак"/>
    <w:basedOn w:val="938"/>
    <w:link w:val="952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54">
    <w:name w:val="Quote"/>
    <w:basedOn w:val="928"/>
    <w:next w:val="928"/>
    <w:link w:val="95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5" w:customStyle="1">
    <w:name w:val="Цитата 2 Знак"/>
    <w:basedOn w:val="938"/>
    <w:link w:val="95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56">
    <w:name w:val="List Paragraph"/>
    <w:basedOn w:val="928"/>
    <w:uiPriority w:val="34"/>
    <w:qFormat/>
    <w:pPr>
      <w:pBdr/>
      <w:spacing/>
      <w:ind w:left="720"/>
      <w:contextualSpacing w:val="true"/>
    </w:pPr>
  </w:style>
  <w:style w:type="character" w:styleId="957">
    <w:name w:val="Intense Emphasis"/>
    <w:basedOn w:val="938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958">
    <w:name w:val="Intense Quote"/>
    <w:basedOn w:val="928"/>
    <w:next w:val="928"/>
    <w:link w:val="959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959" w:customStyle="1">
    <w:name w:val="Выделенная цитата Знак"/>
    <w:basedOn w:val="938"/>
    <w:link w:val="958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960">
    <w:name w:val="Intense Reference"/>
    <w:basedOn w:val="938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table" w:styleId="961">
    <w:name w:val="Table Grid"/>
    <w:basedOn w:val="939"/>
    <w:uiPriority w:val="3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2">
    <w:name w:val="Hyperlink"/>
    <w:basedOn w:val="93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63" w:customStyle="1">
    <w:name w:val="Unresolved Mention"/>
    <w:basedOn w:val="93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964">
    <w:name w:val="annotation reference"/>
    <w:basedOn w:val="938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65">
    <w:name w:val="annotation text"/>
    <w:basedOn w:val="928"/>
    <w:link w:val="966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66" w:customStyle="1">
    <w:name w:val="Текст примечания Знак"/>
    <w:basedOn w:val="938"/>
    <w:link w:val="965"/>
    <w:uiPriority w:val="99"/>
    <w:semiHidden/>
    <w:pPr>
      <w:pBdr/>
      <w:spacing/>
      <w:ind/>
    </w:pPr>
    <w:rPr>
      <w:sz w:val="20"/>
      <w:szCs w:val="20"/>
    </w:rPr>
  </w:style>
  <w:style w:type="paragraph" w:styleId="967">
    <w:name w:val="annotation subject"/>
    <w:basedOn w:val="965"/>
    <w:next w:val="965"/>
    <w:link w:val="968"/>
    <w:uiPriority w:val="99"/>
    <w:semiHidden/>
    <w:unhideWhenUsed/>
    <w:pPr>
      <w:pBdr/>
      <w:spacing/>
      <w:ind/>
    </w:pPr>
    <w:rPr>
      <w:b/>
      <w:bCs/>
    </w:rPr>
  </w:style>
  <w:style w:type="character" w:styleId="968" w:customStyle="1">
    <w:name w:val="Тема примечания Знак"/>
    <w:basedOn w:val="966"/>
    <w:link w:val="967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69">
    <w:name w:val="Balloon Text"/>
    <w:basedOn w:val="928"/>
    <w:link w:val="970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70" w:customStyle="1">
    <w:name w:val="Текст выноски Знак"/>
    <w:basedOn w:val="938"/>
    <w:link w:val="96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1">
    <w:name w:val="No Spacing"/>
    <w:uiPriority w:val="1"/>
    <w:qFormat/>
    <w:pPr>
      <w:pBdr/>
      <w:spacing w:after="0" w:line="240" w:lineRule="auto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investryazan.ru/ru/page/zayavka_na_invest_proekt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D8164-E484-46DA-AAE0-BEFAA2D2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revision>78</cp:revision>
  <dcterms:created xsi:type="dcterms:W3CDTF">2026-01-13T10:01:00Z</dcterms:created>
  <dcterms:modified xsi:type="dcterms:W3CDTF">2026-02-18T14:59:02Z</dcterms:modified>
</cp:coreProperties>
</file>