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Вид объекта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Земельный участок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Статус инвестиционной площадки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Свободная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3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Адрес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Рязанская область, Рыбновский район, вблизи д. </w:t>
            </w:r>
            <w:proofErr w:type="gramStart"/>
            <w:r w:rsidRPr="00851E89">
              <w:rPr>
                <w:sz w:val="19"/>
                <w:szCs w:val="19"/>
              </w:rPr>
              <w:t>Высокое</w:t>
            </w:r>
            <w:proofErr w:type="gramEnd"/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4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Площадь земельного участка, </w:t>
            </w:r>
            <w:proofErr w:type="gramStart"/>
            <w:r w:rsidRPr="00851E89">
              <w:rPr>
                <w:sz w:val="19"/>
                <w:szCs w:val="19"/>
              </w:rPr>
              <w:t>га</w:t>
            </w:r>
            <w:proofErr w:type="gramEnd"/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39,9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5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62:13:1160301:673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6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35 555,5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7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Форма собственности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Частная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8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Условия пользования площадкой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Продажа, аренда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9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Категория земли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851E89">
              <w:rPr>
                <w:sz w:val="19"/>
                <w:szCs w:val="19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10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11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3724" w:type="dxa"/>
          </w:tcPr>
          <w:p w:rsidR="00C130E1" w:rsidRPr="00851E89" w:rsidRDefault="000A00F3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Производственная зона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12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Для строительства объектов дорожного сервиса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13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Ограничения в использовании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 w:val="restart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14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Близость </w:t>
            </w:r>
            <w:proofErr w:type="gramStart"/>
            <w:r w:rsidRPr="00851E89">
              <w:rPr>
                <w:sz w:val="19"/>
                <w:szCs w:val="19"/>
              </w:rPr>
              <w:t>к</w:t>
            </w:r>
            <w:proofErr w:type="gramEnd"/>
            <w:r w:rsidRPr="00851E89">
              <w:rPr>
                <w:sz w:val="19"/>
                <w:szCs w:val="19"/>
              </w:rPr>
              <w:t>: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- центру/до границы г. Москвы,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87753F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155,7/148,8</w:t>
            </w: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- центру/до границы г. Рязани,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5,9/14,9</w:t>
            </w: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- центру/до границы населенного пункта,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886ABF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6,1/15,0</w:t>
            </w:r>
          </w:p>
        </w:tc>
      </w:tr>
      <w:tr w:rsidR="00C130E1" w:rsidRPr="00851E89" w:rsidTr="00C130E1">
        <w:tc>
          <w:tcPr>
            <w:tcW w:w="737" w:type="dxa"/>
            <w:vMerge w:val="restart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15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Автомобильное сообщение (по территории </w:t>
            </w:r>
            <w:proofErr w:type="gramStart"/>
            <w:r w:rsidRPr="00851E89">
              <w:rPr>
                <w:sz w:val="19"/>
                <w:szCs w:val="19"/>
              </w:rPr>
              <w:lastRenderedPageBreak/>
              <w:t>муниципального</w:t>
            </w:r>
            <w:proofErr w:type="gramEnd"/>
            <w:r w:rsidRPr="00851E89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близость к автодороге: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федерального значения,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0,73 км. Автомобильная дорога Москва – Самара (М5) Существует подъезд от М5 к участку.</w:t>
            </w: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регионального значения,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местного значения,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 w:val="restart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16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Железнодорожное сообщение (по территории </w:t>
            </w:r>
            <w:proofErr w:type="gramStart"/>
            <w:r w:rsidRPr="00851E89">
              <w:rPr>
                <w:sz w:val="19"/>
                <w:szCs w:val="19"/>
              </w:rPr>
              <w:t>муниципального</w:t>
            </w:r>
            <w:proofErr w:type="gramEnd"/>
            <w:r w:rsidRPr="00851E89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близость </w:t>
            </w:r>
            <w:proofErr w:type="gramStart"/>
            <w:r w:rsidRPr="00851E89">
              <w:rPr>
                <w:sz w:val="19"/>
                <w:szCs w:val="19"/>
              </w:rPr>
              <w:t>к ж</w:t>
            </w:r>
            <w:proofErr w:type="gramEnd"/>
            <w:r w:rsidRPr="00851E89">
              <w:rPr>
                <w:sz w:val="19"/>
                <w:szCs w:val="19"/>
              </w:rPr>
              <w:t>/д путям: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федерального значения,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регионального значения,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местного значения,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ж/д станции,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886ABF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8,8 км., станция </w:t>
            </w:r>
            <w:proofErr w:type="gramStart"/>
            <w:r w:rsidRPr="00851E89">
              <w:rPr>
                <w:sz w:val="19"/>
                <w:szCs w:val="19"/>
              </w:rPr>
              <w:t>Рыбное</w:t>
            </w:r>
            <w:proofErr w:type="gramEnd"/>
            <w:r w:rsidRPr="00851E89">
              <w:rPr>
                <w:sz w:val="19"/>
                <w:szCs w:val="19"/>
              </w:rPr>
              <w:t xml:space="preserve">  Московской ж.д.</w:t>
            </w:r>
          </w:p>
        </w:tc>
      </w:tr>
      <w:tr w:rsidR="00C130E1" w:rsidRPr="00851E89" w:rsidTr="00C130E1">
        <w:tc>
          <w:tcPr>
            <w:tcW w:w="737" w:type="dxa"/>
            <w:vMerge w:val="restart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17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Водное сообщение (по территории </w:t>
            </w:r>
            <w:proofErr w:type="gramStart"/>
            <w:r w:rsidRPr="00851E89">
              <w:rPr>
                <w:sz w:val="19"/>
                <w:szCs w:val="19"/>
              </w:rPr>
              <w:t>муниципального</w:t>
            </w:r>
            <w:proofErr w:type="gramEnd"/>
            <w:r w:rsidRPr="00851E89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близость к объектам: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речному порту,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 w:val="restart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причалу,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паромной переправе,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 w:val="restart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18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Авиасообщение (по территории </w:t>
            </w:r>
            <w:proofErr w:type="gramStart"/>
            <w:r w:rsidRPr="00851E89">
              <w:rPr>
                <w:sz w:val="19"/>
                <w:szCs w:val="19"/>
              </w:rPr>
              <w:t>муниципального</w:t>
            </w:r>
            <w:proofErr w:type="gramEnd"/>
            <w:r w:rsidRPr="00851E89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близость к объектам: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аэропорту,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886ABF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118,0, аэропорт «Домодедово»</w:t>
            </w: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аэродрому, </w:t>
            </w:r>
            <w:proofErr w:type="gramStart"/>
            <w:r w:rsidRPr="00851E8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 w:val="restart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19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электроснабжение, МВт/</w:t>
            </w:r>
            <w:proofErr w:type="gramStart"/>
            <w:r w:rsidRPr="00851E89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851E89" w:rsidRDefault="006167F5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10 кВт,  линия проходит по участку</w:t>
            </w: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газоснабжение, м3/ч</w:t>
            </w:r>
          </w:p>
        </w:tc>
        <w:tc>
          <w:tcPr>
            <w:tcW w:w="3724" w:type="dxa"/>
          </w:tcPr>
          <w:p w:rsidR="00C130E1" w:rsidRPr="00851E89" w:rsidRDefault="00C630D5" w:rsidP="00444C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границе участка </w:t>
            </w:r>
            <w:r w:rsidR="006167F5" w:rsidRPr="00851E89">
              <w:rPr>
                <w:sz w:val="19"/>
                <w:szCs w:val="19"/>
              </w:rPr>
              <w:t>проходит магистральный газопровод высокого давления</w:t>
            </w: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водоснабжение, м3/ч</w:t>
            </w:r>
          </w:p>
        </w:tc>
        <w:tc>
          <w:tcPr>
            <w:tcW w:w="3724" w:type="dxa"/>
          </w:tcPr>
          <w:p w:rsidR="00C130E1" w:rsidRPr="00851E89" w:rsidRDefault="006167F5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возможно бурение скважины</w:t>
            </w: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водоотведение, м3/ч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теплоснабжение, Гкал/</w:t>
            </w:r>
            <w:proofErr w:type="gramStart"/>
            <w:r w:rsidRPr="00851E89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20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Pr="00851E89" w:rsidRDefault="00C630D5" w:rsidP="00444C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д. </w:t>
            </w:r>
            <w:bookmarkStart w:id="0" w:name="_GoBack"/>
            <w:bookmarkEnd w:id="0"/>
            <w:r>
              <w:rPr>
                <w:sz w:val="19"/>
                <w:szCs w:val="19"/>
              </w:rPr>
              <w:t>Высокое.  Ростелеком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22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Контактное лицо для справок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851E89">
              <w:rPr>
                <w:sz w:val="19"/>
                <w:szCs w:val="19"/>
              </w:rPr>
              <w:t>Есаян</w:t>
            </w:r>
            <w:proofErr w:type="spellEnd"/>
            <w:r w:rsidRPr="00851E89">
              <w:rPr>
                <w:sz w:val="19"/>
                <w:szCs w:val="19"/>
              </w:rPr>
              <w:t xml:space="preserve"> </w:t>
            </w:r>
            <w:proofErr w:type="spellStart"/>
            <w:r w:rsidRPr="00851E89">
              <w:rPr>
                <w:sz w:val="19"/>
                <w:szCs w:val="19"/>
              </w:rPr>
              <w:t>Вардан</w:t>
            </w:r>
            <w:proofErr w:type="spellEnd"/>
            <w:r w:rsidRPr="00851E89">
              <w:rPr>
                <w:sz w:val="19"/>
                <w:szCs w:val="19"/>
              </w:rPr>
              <w:t xml:space="preserve"> </w:t>
            </w:r>
            <w:proofErr w:type="spellStart"/>
            <w:r w:rsidRPr="00851E89">
              <w:rPr>
                <w:sz w:val="19"/>
                <w:szCs w:val="19"/>
              </w:rPr>
              <w:t>Димитрович</w:t>
            </w:r>
            <w:proofErr w:type="spellEnd"/>
            <w:r w:rsidRPr="00851E89">
              <w:rPr>
                <w:sz w:val="19"/>
                <w:szCs w:val="19"/>
              </w:rPr>
              <w:t xml:space="preserve">                    8(965)296-55-55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23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Инвестиционный уполномоченный </w:t>
            </w:r>
            <w:proofErr w:type="gramStart"/>
            <w:r w:rsidRPr="00851E89">
              <w:rPr>
                <w:sz w:val="19"/>
                <w:szCs w:val="19"/>
              </w:rPr>
              <w:t>муниципального</w:t>
            </w:r>
            <w:proofErr w:type="gramEnd"/>
            <w:r w:rsidRPr="00851E89">
              <w:rPr>
                <w:sz w:val="19"/>
                <w:szCs w:val="19"/>
              </w:rPr>
              <w:t xml:space="preserve"> образования</w:t>
            </w:r>
          </w:p>
        </w:tc>
        <w:tc>
          <w:tcPr>
            <w:tcW w:w="3724" w:type="dxa"/>
          </w:tcPr>
          <w:p w:rsidR="00693A9E" w:rsidRPr="00851E89" w:rsidRDefault="00693A9E" w:rsidP="00693A9E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Копылова Екатерина Михайловна                  8(49137) 5-31-03</w:t>
            </w:r>
          </w:p>
          <w:p w:rsidR="00C130E1" w:rsidRPr="00851E89" w:rsidRDefault="00693A9E" w:rsidP="00693A9E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8-(967) 004-56-70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24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Дата актуализации паспорта</w:t>
            </w:r>
          </w:p>
        </w:tc>
        <w:tc>
          <w:tcPr>
            <w:tcW w:w="3724" w:type="dxa"/>
          </w:tcPr>
          <w:p w:rsidR="00C130E1" w:rsidRPr="00851E89" w:rsidRDefault="00693A9E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26.03.2024 г.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25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Pr="00851E89" w:rsidRDefault="004410D7" w:rsidP="00444C69">
            <w:pPr>
              <w:pStyle w:val="ConsPlusNormal"/>
              <w:rPr>
                <w:sz w:val="19"/>
                <w:szCs w:val="19"/>
              </w:rPr>
            </w:pPr>
            <w:hyperlink r:id="rId5" w:history="1">
              <w:r w:rsidR="00693A9E" w:rsidRPr="00851E89">
                <w:rPr>
                  <w:rStyle w:val="a5"/>
                  <w:sz w:val="19"/>
                  <w:szCs w:val="19"/>
                </w:rPr>
                <w:t>https://investryazan.ru/ru/page/investiczionnaya-deklaracziya</w:t>
              </w:r>
            </w:hyperlink>
            <w:r w:rsidR="00693A9E" w:rsidRPr="00851E89">
              <w:rPr>
                <w:sz w:val="19"/>
                <w:szCs w:val="19"/>
              </w:rPr>
              <w:t xml:space="preserve"> </w:t>
            </w: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26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27.1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Кадастровый номер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27.2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Кадастровая стоимость, тыс. руб.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27.3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Площадь помещений, м</w:t>
            </w:r>
            <w:proofErr w:type="gramStart"/>
            <w:r w:rsidRPr="00851E89">
              <w:rPr>
                <w:sz w:val="19"/>
                <w:szCs w:val="19"/>
              </w:rPr>
              <w:t>2</w:t>
            </w:r>
            <w:proofErr w:type="gramEnd"/>
            <w:r w:rsidRPr="00851E89">
              <w:rPr>
                <w:sz w:val="19"/>
                <w:szCs w:val="19"/>
              </w:rPr>
              <w:t>,</w:t>
            </w:r>
          </w:p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в том числе: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27.4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- производственных, м</w:t>
            </w:r>
            <w:proofErr w:type="gramStart"/>
            <w:r w:rsidRPr="00851E89">
              <w:rPr>
                <w:sz w:val="19"/>
                <w:szCs w:val="19"/>
              </w:rPr>
              <w:t>2</w:t>
            </w:r>
            <w:proofErr w:type="gramEnd"/>
            <w:r w:rsidRPr="00851E89">
              <w:rPr>
                <w:sz w:val="19"/>
                <w:szCs w:val="19"/>
              </w:rPr>
              <w:t>;</w:t>
            </w:r>
          </w:p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- офисных, м</w:t>
            </w:r>
            <w:proofErr w:type="gramStart"/>
            <w:r w:rsidRPr="00851E89">
              <w:rPr>
                <w:sz w:val="19"/>
                <w:szCs w:val="19"/>
              </w:rPr>
              <w:t>2</w:t>
            </w:r>
            <w:proofErr w:type="gramEnd"/>
            <w:r w:rsidRPr="00851E89">
              <w:rPr>
                <w:sz w:val="19"/>
                <w:szCs w:val="19"/>
              </w:rPr>
              <w:t>;</w:t>
            </w:r>
          </w:p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- складских, м</w:t>
            </w:r>
            <w:proofErr w:type="gramStart"/>
            <w:r w:rsidRPr="00851E89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27.5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Высота потолков, </w:t>
            </w:r>
            <w:proofErr w:type="gramStart"/>
            <w:r w:rsidRPr="00851E89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27.6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Шаг колонн, </w:t>
            </w:r>
            <w:proofErr w:type="gramStart"/>
            <w:r w:rsidRPr="00851E89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27.7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Нагрузка на пол, тонн/м</w:t>
            </w:r>
            <w:proofErr w:type="gramStart"/>
            <w:r w:rsidRPr="00851E89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27.8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Протяженность объекта капитального строительства, </w:t>
            </w:r>
            <w:proofErr w:type="gramStart"/>
            <w:r w:rsidRPr="00851E89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27.9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Форма собственности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27.10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Назначение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27.11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 xml:space="preserve">Количество этажей, включая </w:t>
            </w:r>
            <w:proofErr w:type="gramStart"/>
            <w:r w:rsidRPr="00851E89">
              <w:rPr>
                <w:sz w:val="19"/>
                <w:szCs w:val="19"/>
              </w:rP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27.12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27.13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 w:val="restart"/>
          </w:tcPr>
          <w:p w:rsidR="00C130E1" w:rsidRPr="00851E8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27.14</w:t>
            </w: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Электроснабжение, МВт/</w:t>
            </w:r>
            <w:proofErr w:type="gramStart"/>
            <w:r w:rsidRPr="00851E89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Газоснабжение, м3/ч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Водоснабжение, м3/ч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Водоотведение, м3/ч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851E89" w:rsidTr="00C130E1">
        <w:tc>
          <w:tcPr>
            <w:tcW w:w="737" w:type="dxa"/>
            <w:vMerge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851E89">
              <w:rPr>
                <w:sz w:val="19"/>
                <w:szCs w:val="19"/>
              </w:rPr>
              <w:t>Теплоснабжение, Гкал/</w:t>
            </w:r>
            <w:proofErr w:type="gramStart"/>
            <w:r w:rsidRPr="00851E89">
              <w:rPr>
                <w:sz w:val="19"/>
                <w:szCs w:val="19"/>
              </w:rPr>
              <w:t>ч</w:t>
            </w:r>
            <w:proofErr w:type="gramEnd"/>
            <w:r w:rsidRPr="00851E89">
              <w:rPr>
                <w:sz w:val="19"/>
                <w:szCs w:val="19"/>
              </w:rPr>
              <w:t>"</w:t>
            </w:r>
          </w:p>
        </w:tc>
        <w:tc>
          <w:tcPr>
            <w:tcW w:w="3724" w:type="dxa"/>
          </w:tcPr>
          <w:p w:rsidR="00C130E1" w:rsidRPr="00851E8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:rsidR="00C130E1" w:rsidRPr="00851E89" w:rsidRDefault="00C130E1" w:rsidP="00C130E1">
      <w:pPr>
        <w:pStyle w:val="ConsPlusNormal"/>
        <w:jc w:val="both"/>
        <w:rPr>
          <w:sz w:val="19"/>
          <w:szCs w:val="19"/>
        </w:rPr>
      </w:pPr>
    </w:p>
    <w:p w:rsidR="00C130E1" w:rsidRPr="00851E89" w:rsidRDefault="00C130E1" w:rsidP="00C130E1">
      <w:pPr>
        <w:pStyle w:val="ConsPlusNormal"/>
        <w:jc w:val="both"/>
        <w:rPr>
          <w:sz w:val="19"/>
          <w:szCs w:val="19"/>
        </w:rPr>
      </w:pPr>
    </w:p>
    <w:p w:rsidR="00007FB4" w:rsidRPr="00851E89" w:rsidRDefault="004410D7">
      <w:pPr>
        <w:rPr>
          <w:sz w:val="19"/>
          <w:szCs w:val="19"/>
        </w:rPr>
      </w:pPr>
    </w:p>
    <w:sectPr w:rsidR="00007FB4" w:rsidRPr="0085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0A00F3"/>
    <w:rsid w:val="004410D7"/>
    <w:rsid w:val="006167F5"/>
    <w:rsid w:val="00693A9E"/>
    <w:rsid w:val="00814DCC"/>
    <w:rsid w:val="00851E89"/>
    <w:rsid w:val="0087753F"/>
    <w:rsid w:val="00886ABF"/>
    <w:rsid w:val="00BB3118"/>
    <w:rsid w:val="00C130E1"/>
    <w:rsid w:val="00C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93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9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6</cp:revision>
  <cp:lastPrinted>2024-03-28T08:56:00Z</cp:lastPrinted>
  <dcterms:created xsi:type="dcterms:W3CDTF">2024-03-22T10:14:00Z</dcterms:created>
  <dcterms:modified xsi:type="dcterms:W3CDTF">2024-03-28T10:04:00Z</dcterms:modified>
</cp:coreProperties>
</file>