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46E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:rsidTr="002D5225">
        <w:tc>
          <w:tcPr>
            <w:tcW w:w="5211" w:type="dxa"/>
          </w:tcPr>
          <w:p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:rsidTr="004C322A">
        <w:trPr>
          <w:trHeight w:val="561"/>
        </w:trPr>
        <w:tc>
          <w:tcPr>
            <w:tcW w:w="9628" w:type="dxa"/>
          </w:tcPr>
          <w:p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:rsidR="000359D8" w:rsidRDefault="004C322A" w:rsidP="00903EA0">
            <w:pPr>
              <w:pStyle w:val="a4"/>
              <w:spacing w:after="120"/>
              <w:ind w:left="-1242"/>
              <w:rPr>
                <w:b/>
                <w:sz w:val="24"/>
                <w:szCs w:val="24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  <w:r w:rsidR="000359D8" w:rsidRPr="00E12246">
              <w:rPr>
                <w:b/>
                <w:sz w:val="24"/>
                <w:szCs w:val="24"/>
              </w:rPr>
              <w:t xml:space="preserve"> </w:t>
            </w:r>
            <w:r w:rsidR="000359D8">
              <w:rPr>
                <w:b/>
                <w:sz w:val="24"/>
                <w:szCs w:val="24"/>
              </w:rPr>
              <w:t>–</w:t>
            </w:r>
          </w:p>
          <w:p w:rsidR="00643F27" w:rsidRDefault="00CE572B" w:rsidP="00643F2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D570C6">
              <w:rPr>
                <w:rFonts w:ascii="Times New Roman" w:hAnsi="Times New Roman"/>
                <w:b/>
                <w:sz w:val="24"/>
                <w:szCs w:val="24"/>
              </w:rPr>
              <w:t>Земельный участок  - «Бывший кирпичный  завод»</w:t>
            </w:r>
          </w:p>
          <w:p w:rsidR="00CE572B" w:rsidRPr="00720ABE" w:rsidRDefault="00CE572B" w:rsidP="00643F27">
            <w:pPr>
              <w:widowControl w:val="0"/>
              <w:autoSpaceDE w:val="0"/>
              <w:autoSpaceDN w:val="0"/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4667"/>
        <w:gridCol w:w="4818"/>
      </w:tblGrid>
      <w:tr w:rsidR="008A0BBB" w:rsidRPr="0020424A" w:rsidTr="00DB78EA">
        <w:trPr>
          <w:trHeight w:val="492"/>
        </w:trPr>
        <w:tc>
          <w:tcPr>
            <w:tcW w:w="362" w:type="pct"/>
          </w:tcPr>
          <w:p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Характеристика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ед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изм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Показатель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Вид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pacing w:val="-3"/>
                <w:sz w:val="23"/>
                <w:szCs w:val="23"/>
              </w:rPr>
              <w:t>объекта</w:t>
            </w:r>
            <w:proofErr w:type="spellEnd"/>
          </w:p>
        </w:tc>
        <w:tc>
          <w:tcPr>
            <w:tcW w:w="2356" w:type="pct"/>
          </w:tcPr>
          <w:p w:rsidR="00DB78EA" w:rsidRPr="00141E9D" w:rsidRDefault="00E71803" w:rsidP="00141E9D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spellStart"/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Гри</w:t>
            </w:r>
            <w:r w:rsidR="000359D8"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нфилд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Статус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инвестиционной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площадки</w:t>
            </w:r>
            <w:proofErr w:type="spellEnd"/>
          </w:p>
        </w:tc>
        <w:tc>
          <w:tcPr>
            <w:tcW w:w="2356" w:type="pct"/>
          </w:tcPr>
          <w:p w:rsidR="00DB78EA" w:rsidRPr="00141E9D" w:rsidRDefault="00DB78EA" w:rsidP="00141E9D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Другая </w:t>
            </w:r>
            <w:proofErr w:type="spellStart"/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инвестплощадка</w:t>
            </w:r>
            <w:proofErr w:type="spellEnd"/>
          </w:p>
        </w:tc>
      </w:tr>
      <w:tr w:rsidR="00DB78EA" w:rsidRPr="0020424A" w:rsidTr="00EB71BE">
        <w:trPr>
          <w:trHeight w:val="329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Адрес</w:t>
            </w:r>
            <w:proofErr w:type="spellEnd"/>
          </w:p>
        </w:tc>
        <w:tc>
          <w:tcPr>
            <w:tcW w:w="2356" w:type="pct"/>
          </w:tcPr>
          <w:p w:rsidR="00CE572B" w:rsidRPr="00141E9D" w:rsidRDefault="00CE572B" w:rsidP="00141E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Рязанская</w:t>
            </w:r>
            <w:proofErr w:type="spellEnd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область</w:t>
            </w:r>
            <w:proofErr w:type="spellEnd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Путятинский</w:t>
            </w:r>
            <w:proofErr w:type="spellEnd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</w:t>
            </w:r>
            <w:proofErr w:type="spellEnd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DB78EA" w:rsidRPr="00141E9D" w:rsidRDefault="00CE572B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rFonts w:eastAsia="Times New Roman" w:cs="Times New Roman"/>
                <w:i/>
                <w:sz w:val="24"/>
                <w:szCs w:val="24"/>
                <w:lang w:val="ru-RU" w:eastAsia="ru-RU"/>
              </w:rPr>
              <w:t xml:space="preserve">Земельный участок расположен в 1,5 км к юго-западу от </w:t>
            </w:r>
            <w:proofErr w:type="spellStart"/>
            <w:r w:rsidRPr="00141E9D">
              <w:rPr>
                <w:rFonts w:eastAsia="Times New Roman" w:cs="Times New Roman"/>
                <w:i/>
                <w:sz w:val="24"/>
                <w:szCs w:val="24"/>
                <w:lang w:val="ru-RU" w:eastAsia="ru-RU"/>
              </w:rPr>
              <w:t>с</w:t>
            </w:r>
            <w:proofErr w:type="gramStart"/>
            <w:r w:rsidRPr="00141E9D">
              <w:rPr>
                <w:rFonts w:eastAsia="Times New Roman" w:cs="Times New Roman"/>
                <w:i/>
                <w:sz w:val="24"/>
                <w:szCs w:val="24"/>
                <w:lang w:val="ru-RU" w:eastAsia="ru-RU"/>
              </w:rPr>
              <w:t>.П</w:t>
            </w:r>
            <w:proofErr w:type="gramEnd"/>
            <w:r w:rsidRPr="00141E9D">
              <w:rPr>
                <w:rFonts w:eastAsia="Times New Roman" w:cs="Times New Roman"/>
                <w:i/>
                <w:sz w:val="24"/>
                <w:szCs w:val="24"/>
                <w:lang w:val="ru-RU" w:eastAsia="ru-RU"/>
              </w:rPr>
              <w:t>утятино</w:t>
            </w:r>
            <w:proofErr w:type="spellEnd"/>
            <w:r w:rsidRPr="00141E9D">
              <w:rPr>
                <w:rFonts w:eastAsia="Times New Roman" w:cs="Times New Roman"/>
                <w:i/>
                <w:sz w:val="24"/>
                <w:szCs w:val="24"/>
                <w:lang w:val="ru-RU" w:eastAsia="ru-RU"/>
              </w:rPr>
              <w:t xml:space="preserve"> и в 0,5 км к западу от бывшего кирпичного завода</w:t>
            </w:r>
          </w:p>
        </w:tc>
      </w:tr>
      <w:tr w:rsidR="00F73E17" w:rsidRPr="0020424A" w:rsidTr="00EB71BE">
        <w:trPr>
          <w:trHeight w:val="258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:rsidR="00F73E17" w:rsidRPr="00F51DFD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Площадь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  <w:r w:rsidRPr="00F51DFD">
              <w:rPr>
                <w:sz w:val="23"/>
                <w:szCs w:val="23"/>
              </w:rPr>
              <w:t xml:space="preserve">, </w:t>
            </w:r>
            <w:proofErr w:type="spellStart"/>
            <w:r w:rsidRPr="00F51DFD">
              <w:rPr>
                <w:sz w:val="23"/>
                <w:szCs w:val="23"/>
              </w:rPr>
              <w:t>га</w:t>
            </w:r>
            <w:proofErr w:type="spellEnd"/>
          </w:p>
        </w:tc>
        <w:tc>
          <w:tcPr>
            <w:tcW w:w="2356" w:type="pct"/>
          </w:tcPr>
          <w:p w:rsidR="00F73E17" w:rsidRPr="00141E9D" w:rsidRDefault="00141E9D" w:rsidP="00141E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8,6</w:t>
            </w:r>
          </w:p>
        </w:tc>
      </w:tr>
      <w:tr w:rsidR="00F73E17" w:rsidRPr="0020424A" w:rsidTr="00EB71BE">
        <w:trPr>
          <w:trHeight w:val="261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:rsidR="00F73E17" w:rsidRPr="00F51DFD" w:rsidRDefault="00F73E17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Кадастровый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номер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</w:p>
        </w:tc>
        <w:tc>
          <w:tcPr>
            <w:tcW w:w="2356" w:type="pct"/>
          </w:tcPr>
          <w:p w:rsidR="00F73E17" w:rsidRPr="00141E9D" w:rsidRDefault="00643F27" w:rsidP="00141E9D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-</w:t>
            </w:r>
          </w:p>
          <w:p w:rsidR="00F73E17" w:rsidRPr="00141E9D" w:rsidRDefault="00F73E17" w:rsidP="00141E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B78EA" w:rsidRPr="0020424A" w:rsidTr="00EB71BE">
        <w:trPr>
          <w:trHeight w:val="261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:rsidR="00DB78EA" w:rsidRPr="008A0BBB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:rsidR="00DB78EA" w:rsidRPr="00141E9D" w:rsidRDefault="00643F27" w:rsidP="00141E9D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:rsidTr="00EB71BE">
        <w:trPr>
          <w:trHeight w:val="5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Форма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DB78EA" w:rsidRPr="00141E9D" w:rsidRDefault="00E71803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rFonts w:cs="Times New Roman"/>
                <w:i/>
                <w:sz w:val="24"/>
                <w:szCs w:val="24"/>
                <w:lang w:val="ru-RU"/>
              </w:rPr>
              <w:t>государственная (неразграниченная) земля</w:t>
            </w:r>
          </w:p>
        </w:tc>
      </w:tr>
      <w:tr w:rsidR="00DB78EA" w:rsidRPr="0020424A" w:rsidTr="00EB71BE">
        <w:trPr>
          <w:trHeight w:val="272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Условия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пользования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площадкой</w:t>
            </w:r>
            <w:proofErr w:type="spellEnd"/>
          </w:p>
        </w:tc>
        <w:tc>
          <w:tcPr>
            <w:tcW w:w="2356" w:type="pct"/>
          </w:tcPr>
          <w:p w:rsidR="005760A8" w:rsidRPr="00141E9D" w:rsidRDefault="000359D8" w:rsidP="00141E9D">
            <w:pPr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Аренда</w:t>
            </w:r>
          </w:p>
          <w:p w:rsidR="00DB78EA" w:rsidRPr="00141E9D" w:rsidRDefault="00DB78EA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6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Категория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земли</w:t>
            </w:r>
            <w:proofErr w:type="spellEnd"/>
          </w:p>
        </w:tc>
        <w:tc>
          <w:tcPr>
            <w:tcW w:w="2356" w:type="pct"/>
          </w:tcPr>
          <w:p w:rsidR="00DB78EA" w:rsidRPr="00141E9D" w:rsidRDefault="00DB78EA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Земли </w:t>
            </w:r>
            <w:r w:rsidR="00643F27"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сельскохозяйственного назначения</w:t>
            </w:r>
          </w:p>
          <w:p w:rsidR="00DB78EA" w:rsidRPr="00141E9D" w:rsidRDefault="00DB78EA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:rsidR="00DB78EA" w:rsidRPr="0020424A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Категория</w:t>
            </w:r>
            <w:proofErr w:type="spellEnd"/>
            <w:r>
              <w:rPr>
                <w:sz w:val="23"/>
                <w:szCs w:val="23"/>
              </w:rPr>
              <w:t xml:space="preserve"> «ТОП»</w:t>
            </w:r>
          </w:p>
        </w:tc>
        <w:tc>
          <w:tcPr>
            <w:tcW w:w="2356" w:type="pct"/>
          </w:tcPr>
          <w:p w:rsidR="00DB78EA" w:rsidRPr="00141E9D" w:rsidRDefault="00DB78EA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141E9D">
              <w:rPr>
                <w:i/>
                <w:iCs/>
                <w:color w:val="A6A6A6" w:themeColor="background1" w:themeShade="A6"/>
                <w:sz w:val="23"/>
                <w:szCs w:val="23"/>
              </w:rPr>
              <w:t>да</w:t>
            </w:r>
            <w:proofErr w:type="spellEnd"/>
          </w:p>
          <w:p w:rsidR="00DB78EA" w:rsidRPr="00141E9D" w:rsidRDefault="00DB78EA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141E9D">
              <w:rPr>
                <w:i/>
                <w:iCs/>
                <w:color w:val="A6A6A6" w:themeColor="background1" w:themeShade="A6"/>
                <w:sz w:val="23"/>
                <w:szCs w:val="23"/>
              </w:rPr>
              <w:t>нет</w:t>
            </w:r>
            <w:proofErr w:type="spellEnd"/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20424A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:rsidR="00643F27" w:rsidRPr="0020424A" w:rsidRDefault="00643F2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Территориальная</w:t>
            </w:r>
            <w:proofErr w:type="spellEnd"/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зона</w:t>
            </w:r>
            <w:proofErr w:type="spellEnd"/>
          </w:p>
        </w:tc>
        <w:tc>
          <w:tcPr>
            <w:tcW w:w="2356" w:type="pct"/>
          </w:tcPr>
          <w:p w:rsidR="00643F27" w:rsidRPr="00141E9D" w:rsidRDefault="00643F27" w:rsidP="00141E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Не</w:t>
            </w:r>
            <w:proofErr w:type="spellEnd"/>
            <w:r w:rsidRPr="00141E9D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применяется</w:t>
            </w:r>
            <w:proofErr w:type="spellEnd"/>
          </w:p>
        </w:tc>
      </w:tr>
      <w:tr w:rsidR="00643F27" w:rsidRPr="0020424A" w:rsidTr="00EB71BE">
        <w:trPr>
          <w:trHeight w:val="284"/>
        </w:trPr>
        <w:tc>
          <w:tcPr>
            <w:tcW w:w="362" w:type="pct"/>
          </w:tcPr>
          <w:p w:rsidR="00643F27" w:rsidRPr="0020424A" w:rsidRDefault="00643F2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:rsidR="00643F27" w:rsidRPr="0020424A" w:rsidRDefault="00643F2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Виды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разрешенного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использования</w:t>
            </w:r>
            <w:proofErr w:type="spellEnd"/>
          </w:p>
        </w:tc>
        <w:tc>
          <w:tcPr>
            <w:tcW w:w="2356" w:type="pct"/>
          </w:tcPr>
          <w:p w:rsidR="00643F27" w:rsidRPr="00141E9D" w:rsidRDefault="00CE572B" w:rsidP="00141E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Производственная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Ограничения</w:t>
            </w:r>
            <w:proofErr w:type="spellEnd"/>
            <w:r w:rsidRPr="0020424A">
              <w:rPr>
                <w:sz w:val="23"/>
                <w:szCs w:val="23"/>
              </w:rPr>
              <w:t xml:space="preserve"> в </w:t>
            </w:r>
            <w:proofErr w:type="spellStart"/>
            <w:r w:rsidRPr="0020424A">
              <w:rPr>
                <w:sz w:val="23"/>
                <w:szCs w:val="23"/>
              </w:rPr>
              <w:t>использовании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:rsidR="00F73E17" w:rsidRPr="0020424A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</w:t>
            </w:r>
            <w:r>
              <w:rPr>
                <w:sz w:val="23"/>
                <w:szCs w:val="23"/>
                <w:lang w:val="ru-RU"/>
              </w:rPr>
              <w:t xml:space="preserve"> с. Путятино</w:t>
            </w:r>
            <w:r w:rsidRPr="008A0BBB">
              <w:rPr>
                <w:sz w:val="23"/>
                <w:szCs w:val="23"/>
                <w:lang w:val="ru-RU"/>
              </w:rPr>
              <w:t xml:space="preserve">/до границы г. Москвы,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141E9D" w:rsidRDefault="00CE572B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rFonts w:cs="Times New Roman"/>
                <w:i/>
                <w:sz w:val="24"/>
                <w:szCs w:val="24"/>
                <w:lang w:val="ru-RU"/>
              </w:rPr>
              <w:t>0/</w:t>
            </w:r>
            <w:r w:rsidR="00F73E17" w:rsidRPr="00141E9D">
              <w:rPr>
                <w:rFonts w:cs="Times New Roman"/>
                <w:i/>
                <w:sz w:val="24"/>
                <w:szCs w:val="24"/>
                <w:lang w:val="ru-RU"/>
              </w:rPr>
              <w:t>3</w:t>
            </w:r>
            <w:r w:rsidRPr="00141E9D">
              <w:rPr>
                <w:rFonts w:cs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г. Рязани,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141E9D" w:rsidRDefault="00CE572B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rFonts w:cs="Times New Roman"/>
                <w:i/>
                <w:sz w:val="24"/>
                <w:szCs w:val="24"/>
                <w:lang w:val="ru-RU"/>
              </w:rPr>
              <w:t>0</w:t>
            </w:r>
            <w:r w:rsidR="00F73E17" w:rsidRPr="00141E9D">
              <w:rPr>
                <w:rFonts w:cs="Times New Roman"/>
                <w:i/>
                <w:sz w:val="24"/>
                <w:szCs w:val="24"/>
                <w:lang w:val="ru-RU"/>
              </w:rPr>
              <w:t>/1</w:t>
            </w:r>
            <w:r w:rsidRPr="00141E9D">
              <w:rPr>
                <w:rFonts w:cs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населенного пункта,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141E9D" w:rsidRDefault="00CE572B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0</w:t>
            </w:r>
            <w:r w:rsidR="00F73E17"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/0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:rsidR="00F73E17" w:rsidRPr="008A0BBB" w:rsidRDefault="00F73E17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</w:rPr>
            </w:pPr>
            <w:proofErr w:type="spellStart"/>
            <w:r w:rsidRPr="00141E9D">
              <w:rPr>
                <w:i/>
                <w:iCs/>
                <w:color w:val="000000" w:themeColor="text1"/>
                <w:sz w:val="23"/>
                <w:szCs w:val="23"/>
              </w:rPr>
              <w:t>да</w:t>
            </w:r>
            <w:proofErr w:type="spellEnd"/>
          </w:p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автодороге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CE572B" w:rsidRPr="0020424A" w:rsidTr="00EB71BE">
        <w:trPr>
          <w:trHeight w:val="284"/>
        </w:trPr>
        <w:tc>
          <w:tcPr>
            <w:tcW w:w="362" w:type="pct"/>
          </w:tcPr>
          <w:p w:rsidR="00CE572B" w:rsidRDefault="00CE572B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CE572B" w:rsidRDefault="00CE572B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CE572B" w:rsidRPr="00141E9D" w:rsidRDefault="00CE572B" w:rsidP="00141E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2.5</w:t>
            </w:r>
          </w:p>
        </w:tc>
      </w:tr>
      <w:tr w:rsidR="00CE572B" w:rsidRPr="0020424A" w:rsidTr="00EB71BE">
        <w:trPr>
          <w:trHeight w:val="284"/>
        </w:trPr>
        <w:tc>
          <w:tcPr>
            <w:tcW w:w="362" w:type="pct"/>
          </w:tcPr>
          <w:p w:rsidR="00CE572B" w:rsidRDefault="00CE572B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CE572B" w:rsidRDefault="00CE572B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CE572B" w:rsidRPr="00141E9D" w:rsidRDefault="00CE572B" w:rsidP="00141E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CE572B" w:rsidRPr="0020424A" w:rsidTr="00EB71BE">
        <w:trPr>
          <w:trHeight w:val="284"/>
        </w:trPr>
        <w:tc>
          <w:tcPr>
            <w:tcW w:w="362" w:type="pct"/>
          </w:tcPr>
          <w:p w:rsidR="00CE572B" w:rsidRDefault="00CE572B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CE572B" w:rsidRDefault="00CE572B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CE572B" w:rsidRPr="00141E9D" w:rsidRDefault="00CE572B" w:rsidP="00141E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0.5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близость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 ж</w:t>
            </w:r>
            <w:proofErr w:type="gramEnd"/>
            <w:r w:rsidRPr="008A0BBB">
              <w:rPr>
                <w:sz w:val="23"/>
                <w:szCs w:val="23"/>
                <w:lang w:val="ru-RU"/>
              </w:rPr>
              <w:t>/д путям: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ж/д </w:t>
            </w:r>
            <w:proofErr w:type="spellStart"/>
            <w:r>
              <w:rPr>
                <w:sz w:val="23"/>
                <w:szCs w:val="23"/>
              </w:rPr>
              <w:t>станции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141E9D" w:rsidRDefault="00CE572B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38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r w:rsidRPr="00141E9D">
              <w:rPr>
                <w:i/>
                <w:iCs/>
                <w:color w:val="000000" w:themeColor="text1"/>
                <w:sz w:val="23"/>
                <w:szCs w:val="23"/>
              </w:rPr>
              <w:t>нет</w:t>
            </w:r>
            <w:proofErr w:type="spellEnd"/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речному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причалу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паромной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переправе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аэродрому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CE572B" w:rsidRPr="0020424A" w:rsidTr="00EB71BE">
        <w:trPr>
          <w:trHeight w:val="284"/>
        </w:trPr>
        <w:tc>
          <w:tcPr>
            <w:tcW w:w="362" w:type="pct"/>
          </w:tcPr>
          <w:p w:rsidR="00CE572B" w:rsidRPr="008A0BBB" w:rsidRDefault="00CE572B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CE572B" w:rsidRPr="0020424A" w:rsidRDefault="00CE572B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CE572B" w:rsidRPr="00141E9D" w:rsidRDefault="00CE572B" w:rsidP="00141E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ТП- 400 </w:t>
            </w: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</w:t>
            </w:r>
            <w:proofErr w:type="spellEnd"/>
          </w:p>
        </w:tc>
      </w:tr>
      <w:tr w:rsidR="00CE572B" w:rsidRPr="0020424A" w:rsidTr="00EB71BE">
        <w:trPr>
          <w:trHeight w:val="284"/>
        </w:trPr>
        <w:tc>
          <w:tcPr>
            <w:tcW w:w="362" w:type="pct"/>
          </w:tcPr>
          <w:p w:rsidR="00CE572B" w:rsidRPr="00483362" w:rsidRDefault="00CE572B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CE572B" w:rsidRPr="0020424A" w:rsidRDefault="00CE572B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CE572B" w:rsidRPr="00141E9D" w:rsidRDefault="00CE572B" w:rsidP="00141E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0.3МПа</w:t>
            </w:r>
          </w:p>
        </w:tc>
      </w:tr>
      <w:tr w:rsidR="00CE572B" w:rsidRPr="0020424A" w:rsidTr="00EB71BE">
        <w:trPr>
          <w:trHeight w:val="284"/>
        </w:trPr>
        <w:tc>
          <w:tcPr>
            <w:tcW w:w="362" w:type="pct"/>
          </w:tcPr>
          <w:p w:rsidR="00CE572B" w:rsidRPr="00483362" w:rsidRDefault="00CE572B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CE572B" w:rsidRPr="0020424A" w:rsidRDefault="00CE572B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CE572B" w:rsidRPr="00141E9D" w:rsidRDefault="00CE572B" w:rsidP="00141E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Уличный</w:t>
            </w:r>
            <w:proofErr w:type="spellEnd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водопрорвод</w:t>
            </w:r>
            <w:proofErr w:type="spellEnd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Д=100мм</w:t>
            </w:r>
          </w:p>
        </w:tc>
      </w:tr>
      <w:tr w:rsidR="00CE572B" w:rsidRPr="0020424A" w:rsidTr="00EB71BE">
        <w:trPr>
          <w:trHeight w:val="284"/>
        </w:trPr>
        <w:tc>
          <w:tcPr>
            <w:tcW w:w="362" w:type="pct"/>
          </w:tcPr>
          <w:p w:rsidR="00CE572B" w:rsidRPr="00483362" w:rsidRDefault="00CE572B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CE572B" w:rsidRPr="0020424A" w:rsidRDefault="00CE572B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CE572B" w:rsidRPr="00141E9D" w:rsidRDefault="00CE572B" w:rsidP="00141E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1.0тыс.м3/</w:t>
            </w: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CE572B" w:rsidRPr="0020424A" w:rsidTr="00EB71BE">
        <w:trPr>
          <w:trHeight w:val="284"/>
        </w:trPr>
        <w:tc>
          <w:tcPr>
            <w:tcW w:w="362" w:type="pct"/>
          </w:tcPr>
          <w:p w:rsidR="00CE572B" w:rsidRPr="0020424A" w:rsidRDefault="00CE572B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CE572B" w:rsidRPr="0020424A" w:rsidRDefault="00CE572B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CE572B" w:rsidRPr="00141E9D" w:rsidRDefault="00CE572B" w:rsidP="00141E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proofErr w:type="spellEnd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E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</w:t>
            </w:r>
            <w:proofErr w:type="spellEnd"/>
          </w:p>
        </w:tc>
      </w:tr>
      <w:tr w:rsidR="00F73E17" w:rsidRPr="00DA0CFD" w:rsidTr="00EB71BE">
        <w:trPr>
          <w:trHeight w:val="284"/>
        </w:trPr>
        <w:tc>
          <w:tcPr>
            <w:tcW w:w="362" w:type="pct"/>
          </w:tcPr>
          <w:p w:rsidR="00F73E17" w:rsidRPr="00C96F6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ПАО Ростелеком</w:t>
            </w:r>
          </w:p>
        </w:tc>
      </w:tr>
      <w:tr w:rsidR="00F73E17" w:rsidRPr="005C6232" w:rsidTr="00EB71BE">
        <w:trPr>
          <w:trHeight w:val="284"/>
        </w:trPr>
        <w:tc>
          <w:tcPr>
            <w:tcW w:w="362" w:type="pct"/>
          </w:tcPr>
          <w:p w:rsidR="00F73E17" w:rsidRPr="00C96F6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:rsidR="00F73E17" w:rsidRPr="005C6232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5C6232">
              <w:rPr>
                <w:sz w:val="23"/>
                <w:szCs w:val="23"/>
              </w:rPr>
              <w:t>Дополнительная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  <w:proofErr w:type="spellStart"/>
            <w:r w:rsidRPr="005C6232">
              <w:rPr>
                <w:sz w:val="23"/>
                <w:szCs w:val="23"/>
              </w:rPr>
              <w:t>информация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См. ниже</w:t>
            </w:r>
          </w:p>
        </w:tc>
      </w:tr>
      <w:tr w:rsidR="00F73E17" w:rsidRPr="00CE572B" w:rsidTr="00EB71BE">
        <w:trPr>
          <w:trHeight w:val="284"/>
        </w:trPr>
        <w:tc>
          <w:tcPr>
            <w:tcW w:w="362" w:type="pct"/>
          </w:tcPr>
          <w:p w:rsidR="00F73E17" w:rsidRPr="009D299F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22</w:t>
            </w:r>
          </w:p>
        </w:tc>
        <w:tc>
          <w:tcPr>
            <w:tcW w:w="2282" w:type="pct"/>
          </w:tcPr>
          <w:p w:rsidR="00F73E17" w:rsidRPr="009D299F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Контактное лицо для справок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Абабилова</w:t>
            </w:r>
            <w:proofErr w:type="spellEnd"/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Вера Вячеславовна – начальник отдела земельных и имущественных отношений администрации.</w:t>
            </w:r>
          </w:p>
          <w:p w:rsidR="00F73E17" w:rsidRPr="00141E9D" w:rsidRDefault="00F73E17" w:rsidP="00141E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тел.8-49146-2-14-61,</w:t>
            </w:r>
          </w:p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e-mail – otdel-zimo@yandex.ru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Инвестиционный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уполномоченный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Корнеев Максим Геннадьевич - первый заместитель главы администрации </w:t>
            </w:r>
            <w:proofErr w:type="gramStart"/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образования-</w:t>
            </w:r>
            <w:proofErr w:type="spellStart"/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муниципальный район Рязанской области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Дата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актуализации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паспорта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01</w:t>
            </w: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jc w:val="center"/>
              <w:rPr>
                <w:i/>
                <w:sz w:val="23"/>
                <w:szCs w:val="23"/>
              </w:rPr>
            </w:pPr>
            <w:r w:rsidRPr="00141E9D">
              <w:rPr>
                <w:i/>
                <w:sz w:val="23"/>
                <w:szCs w:val="23"/>
              </w:rPr>
              <w:t>«</w:t>
            </w:r>
            <w:proofErr w:type="spellStart"/>
            <w:r w:rsidRPr="00141E9D">
              <w:rPr>
                <w:i/>
              </w:rPr>
              <w:fldChar w:fldCharType="begin"/>
            </w:r>
            <w:r w:rsidRPr="00141E9D">
              <w:rPr>
                <w:i/>
              </w:rPr>
              <w:instrText xml:space="preserve"> HYPERLINK "https://www.investryazan.ru/ru/page/svod-investpravil" </w:instrText>
            </w:r>
            <w:r w:rsidRPr="00141E9D">
              <w:rPr>
                <w:rFonts w:eastAsia="Times New Roman" w:cs="Times New Roman"/>
                <w:i/>
                <w:lang w:val="ru-RU"/>
              </w:rPr>
              <w:fldChar w:fldCharType="separate"/>
            </w:r>
            <w:r w:rsidRPr="00141E9D">
              <w:rPr>
                <w:rStyle w:val="ad"/>
                <w:i/>
                <w:sz w:val="23"/>
                <w:szCs w:val="23"/>
              </w:rPr>
              <w:t>Свод</w:t>
            </w:r>
            <w:proofErr w:type="spellEnd"/>
            <w:r w:rsidRPr="00141E9D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141E9D">
              <w:rPr>
                <w:rStyle w:val="ad"/>
                <w:i/>
                <w:sz w:val="23"/>
                <w:szCs w:val="23"/>
              </w:rPr>
              <w:t>инвестиционных</w:t>
            </w:r>
            <w:proofErr w:type="spellEnd"/>
            <w:r w:rsidRPr="00141E9D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141E9D">
              <w:rPr>
                <w:rStyle w:val="ad"/>
                <w:i/>
                <w:sz w:val="23"/>
                <w:szCs w:val="23"/>
              </w:rPr>
              <w:t>правил</w:t>
            </w:r>
            <w:proofErr w:type="spellEnd"/>
            <w:r w:rsidRPr="00141E9D">
              <w:rPr>
                <w:rStyle w:val="ad"/>
                <w:i/>
                <w:sz w:val="23"/>
                <w:szCs w:val="23"/>
              </w:rPr>
              <w:fldChar w:fldCharType="end"/>
            </w:r>
            <w:r w:rsidRPr="00141E9D">
              <w:rPr>
                <w:i/>
                <w:sz w:val="23"/>
                <w:szCs w:val="23"/>
              </w:rPr>
              <w:t>»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для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площадок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типа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Браунфилд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Земельный участок свободен от зданий, сооружений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27.2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стоимость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sz w:val="23"/>
                <w:szCs w:val="23"/>
              </w:rPr>
              <w:t>руб</w:t>
            </w:r>
            <w:proofErr w:type="spellEnd"/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400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Площадь помещений,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57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производственных,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офисных,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складских,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347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:rsidR="00F73E17" w:rsidRPr="008D3630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Высота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потолков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139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:rsidR="00F73E17" w:rsidRPr="008D3630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Шаг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колонн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139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Нагрузка на пол, тонн/м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305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:rsidR="00F73E17" w:rsidRPr="00EB71BE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EB71BE">
              <w:rPr>
                <w:sz w:val="23"/>
                <w:szCs w:val="23"/>
                <w:lang w:val="ru-RU"/>
              </w:rPr>
              <w:t xml:space="preserve">Протяженность </w:t>
            </w:r>
            <w:r>
              <w:rPr>
                <w:sz w:val="23"/>
                <w:szCs w:val="23"/>
                <w:lang w:val="ru-RU"/>
              </w:rPr>
              <w:t>объекта капитального строительства</w:t>
            </w:r>
            <w:r w:rsidRPr="00EB71BE">
              <w:rPr>
                <w:sz w:val="23"/>
                <w:szCs w:val="23"/>
                <w:lang w:val="ru-RU"/>
              </w:rPr>
              <w:t xml:space="preserve">, </w:t>
            </w:r>
            <w:proofErr w:type="gramStart"/>
            <w:r w:rsidRPr="00EB71BE">
              <w:rPr>
                <w:sz w:val="23"/>
                <w:szCs w:val="23"/>
                <w:lang w:val="ru-RU"/>
              </w:rPr>
              <w:t>м</w:t>
            </w:r>
            <w:proofErr w:type="gram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1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:rsidR="00F73E17" w:rsidRPr="00260324" w:rsidRDefault="00F73E17" w:rsidP="00F52B29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260324">
              <w:rPr>
                <w:sz w:val="23"/>
                <w:szCs w:val="23"/>
              </w:rPr>
              <w:t>Форма</w:t>
            </w:r>
            <w:proofErr w:type="spellEnd"/>
            <w:r w:rsidRPr="00260324">
              <w:rPr>
                <w:sz w:val="23"/>
                <w:szCs w:val="23"/>
              </w:rPr>
              <w:t xml:space="preserve"> </w:t>
            </w:r>
            <w:proofErr w:type="spellStart"/>
            <w:r w:rsidRPr="00260324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:rsidR="00F73E17" w:rsidRPr="00B34834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Назначение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2282" w:type="pct"/>
          </w:tcPr>
          <w:p w:rsidR="00F73E17" w:rsidRPr="00B34834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Количество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этажей</w:t>
            </w:r>
            <w:proofErr w:type="spellEnd"/>
            <w:r w:rsidRPr="00B34834">
              <w:rPr>
                <w:sz w:val="23"/>
                <w:szCs w:val="23"/>
              </w:rPr>
              <w:t xml:space="preserve">, </w:t>
            </w:r>
            <w:proofErr w:type="spellStart"/>
            <w:r w:rsidRPr="00B34834">
              <w:rPr>
                <w:sz w:val="23"/>
                <w:szCs w:val="23"/>
              </w:rPr>
              <w:t>включая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подземные</w:t>
            </w:r>
            <w:proofErr w:type="spellEnd"/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141E9D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Степень готовности</w:t>
            </w:r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(в отношении </w:t>
            </w:r>
            <w:r>
              <w:rPr>
                <w:sz w:val="23"/>
                <w:szCs w:val="23"/>
                <w:lang w:val="ru-RU"/>
              </w:rPr>
              <w:t>незавершенного строительства</w:t>
            </w:r>
            <w:r w:rsidRPr="008A0BBB">
              <w:rPr>
                <w:sz w:val="23"/>
                <w:szCs w:val="23"/>
                <w:lang w:val="ru-RU"/>
              </w:rPr>
              <w:t>), %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141E9D" w:rsidRDefault="00F73E17" w:rsidP="00141E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E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82065" w:rsidRDefault="00141E9D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 -Бывший кирпичн завод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065" w:rsidRDefault="00E8206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9D299F" w:rsidSect="00E46EA2">
      <w:headerReference w:type="default" r:id="rId15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A9" w:rsidRDefault="00E21EA9">
      <w:r>
        <w:separator/>
      </w:r>
    </w:p>
  </w:endnote>
  <w:endnote w:type="continuationSeparator" w:id="0">
    <w:p w:rsidR="00E21EA9" w:rsidRDefault="00E2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A9" w:rsidRDefault="00E21EA9">
      <w:r>
        <w:separator/>
      </w:r>
    </w:p>
  </w:footnote>
  <w:footnote w:type="continuationSeparator" w:id="0">
    <w:p w:rsidR="00E21EA9" w:rsidRDefault="00E2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41E9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E9391F"/>
    <w:multiLevelType w:val="hybridMultilevel"/>
    <w:tmpl w:val="A6E2BD2A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7E"/>
    <w:rsid w:val="000331B3"/>
    <w:rsid w:val="00033413"/>
    <w:rsid w:val="000359D8"/>
    <w:rsid w:val="00037C0C"/>
    <w:rsid w:val="000502A3"/>
    <w:rsid w:val="00056DEB"/>
    <w:rsid w:val="00073A7A"/>
    <w:rsid w:val="00076D5E"/>
    <w:rsid w:val="00084DD3"/>
    <w:rsid w:val="000917C0"/>
    <w:rsid w:val="0009463E"/>
    <w:rsid w:val="000A4257"/>
    <w:rsid w:val="000B0736"/>
    <w:rsid w:val="000E3EE8"/>
    <w:rsid w:val="00122CFD"/>
    <w:rsid w:val="00141E9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07C4"/>
    <w:rsid w:val="002B191A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7F62"/>
    <w:rsid w:val="003870C2"/>
    <w:rsid w:val="00392231"/>
    <w:rsid w:val="003A5ED9"/>
    <w:rsid w:val="003C3714"/>
    <w:rsid w:val="003D2A6E"/>
    <w:rsid w:val="003D3B8A"/>
    <w:rsid w:val="003D54F8"/>
    <w:rsid w:val="003F4F5E"/>
    <w:rsid w:val="00400906"/>
    <w:rsid w:val="0042590E"/>
    <w:rsid w:val="00432CF6"/>
    <w:rsid w:val="00437F65"/>
    <w:rsid w:val="004535B7"/>
    <w:rsid w:val="00460FEA"/>
    <w:rsid w:val="004734B7"/>
    <w:rsid w:val="00481B88"/>
    <w:rsid w:val="00483362"/>
    <w:rsid w:val="00485B4F"/>
    <w:rsid w:val="004862D1"/>
    <w:rsid w:val="004A1162"/>
    <w:rsid w:val="004B2D5A"/>
    <w:rsid w:val="004C322A"/>
    <w:rsid w:val="004D293D"/>
    <w:rsid w:val="004E6543"/>
    <w:rsid w:val="004F44FE"/>
    <w:rsid w:val="005012E2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0A8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5953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3F27"/>
    <w:rsid w:val="00644236"/>
    <w:rsid w:val="006471E5"/>
    <w:rsid w:val="00671D3B"/>
    <w:rsid w:val="00673857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0AF6"/>
    <w:rsid w:val="00712F7C"/>
    <w:rsid w:val="00720C09"/>
    <w:rsid w:val="0072328A"/>
    <w:rsid w:val="007377B5"/>
    <w:rsid w:val="00746CC2"/>
    <w:rsid w:val="00760323"/>
    <w:rsid w:val="00765600"/>
    <w:rsid w:val="007722E3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7FB3"/>
    <w:rsid w:val="008143CB"/>
    <w:rsid w:val="00823CA1"/>
    <w:rsid w:val="00847073"/>
    <w:rsid w:val="008513B9"/>
    <w:rsid w:val="00865C9B"/>
    <w:rsid w:val="008702D3"/>
    <w:rsid w:val="00876034"/>
    <w:rsid w:val="008827E7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2039A"/>
    <w:rsid w:val="00932E3C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299F"/>
    <w:rsid w:val="009D3E8C"/>
    <w:rsid w:val="009E3A0E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94607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126D"/>
    <w:rsid w:val="00B620D9"/>
    <w:rsid w:val="00B633DB"/>
    <w:rsid w:val="00B639ED"/>
    <w:rsid w:val="00B66A8C"/>
    <w:rsid w:val="00B8061C"/>
    <w:rsid w:val="00B818B5"/>
    <w:rsid w:val="00B83BA2"/>
    <w:rsid w:val="00B853AA"/>
    <w:rsid w:val="00B875BF"/>
    <w:rsid w:val="00B91F62"/>
    <w:rsid w:val="00BB2C98"/>
    <w:rsid w:val="00BD0B82"/>
    <w:rsid w:val="00BD73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4962"/>
    <w:rsid w:val="00C87D95"/>
    <w:rsid w:val="00C9077A"/>
    <w:rsid w:val="00C95CD2"/>
    <w:rsid w:val="00CA051B"/>
    <w:rsid w:val="00CB3CBE"/>
    <w:rsid w:val="00CC2B2D"/>
    <w:rsid w:val="00CE2961"/>
    <w:rsid w:val="00CE572B"/>
    <w:rsid w:val="00CF03D8"/>
    <w:rsid w:val="00D015D5"/>
    <w:rsid w:val="00D03D68"/>
    <w:rsid w:val="00D060E2"/>
    <w:rsid w:val="00D11DCC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E10B44"/>
    <w:rsid w:val="00E11F02"/>
    <w:rsid w:val="00E21EA9"/>
    <w:rsid w:val="00E2726B"/>
    <w:rsid w:val="00E346A7"/>
    <w:rsid w:val="00E37801"/>
    <w:rsid w:val="00E46EA2"/>
    <w:rsid w:val="00E46EAA"/>
    <w:rsid w:val="00E5038C"/>
    <w:rsid w:val="00E50B69"/>
    <w:rsid w:val="00E5298B"/>
    <w:rsid w:val="00E56EFB"/>
    <w:rsid w:val="00E6458F"/>
    <w:rsid w:val="00E70D29"/>
    <w:rsid w:val="00E71803"/>
    <w:rsid w:val="00E7242D"/>
    <w:rsid w:val="00E75CE3"/>
    <w:rsid w:val="00E7675C"/>
    <w:rsid w:val="00E82065"/>
    <w:rsid w:val="00E87E25"/>
    <w:rsid w:val="00EA04F1"/>
    <w:rsid w:val="00EA2FD3"/>
    <w:rsid w:val="00EA72B8"/>
    <w:rsid w:val="00EB71B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6710"/>
    <w:rsid w:val="00F71B8C"/>
    <w:rsid w:val="00F73E17"/>
    <w:rsid w:val="00F9334F"/>
    <w:rsid w:val="00F948E0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C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643F2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643F2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NIX-ПК</cp:lastModifiedBy>
  <cp:revision>3</cp:revision>
  <cp:lastPrinted>2024-01-31T07:15:00Z</cp:lastPrinted>
  <dcterms:created xsi:type="dcterms:W3CDTF">2024-04-01T12:13:00Z</dcterms:created>
  <dcterms:modified xsi:type="dcterms:W3CDTF">2024-04-01T12:14:00Z</dcterms:modified>
</cp:coreProperties>
</file>