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E84048" w:rsidP="00444C69">
            <w:pPr>
              <w:pStyle w:val="ConsPlusNormal"/>
            </w:pPr>
            <w:r w:rsidRPr="00E84048">
              <w:t xml:space="preserve">ООО «Технопарк Рязань» </w:t>
            </w:r>
            <w:proofErr w:type="gramStart"/>
            <w:r w:rsidRPr="00E84048">
              <w:t>в</w:t>
            </w:r>
            <w:proofErr w:type="gramEnd"/>
            <w:r w:rsidRPr="00E84048">
              <w:t xml:space="preserve"> </w:t>
            </w:r>
            <w:proofErr w:type="gramStart"/>
            <w:r w:rsidRPr="00E84048">
              <w:t>Рыбновском</w:t>
            </w:r>
            <w:proofErr w:type="gramEnd"/>
            <w:r w:rsidRPr="00E84048">
              <w:t xml:space="preserve">  районе.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E84048" w:rsidP="00444C69">
            <w:pPr>
              <w:pStyle w:val="ConsPlusNormal"/>
            </w:pPr>
            <w:r w:rsidRPr="00E84048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E84048" w:rsidP="00444C69">
            <w:pPr>
              <w:pStyle w:val="ConsPlusNormal"/>
            </w:pPr>
            <w:r w:rsidRPr="00E84048">
              <w:t>Рязанская область, Рыбновский район, вблизи д.Зеленинские Дворики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24" w:type="dxa"/>
          </w:tcPr>
          <w:p w:rsidR="00C130E1" w:rsidRDefault="004F73BF" w:rsidP="00444C69">
            <w:pPr>
              <w:pStyle w:val="ConsPlusNormal"/>
            </w:pPr>
            <w:r w:rsidRPr="004F73BF">
              <w:t>129,78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4F73BF" w:rsidRDefault="004F73BF" w:rsidP="004F73BF">
            <w:pPr>
              <w:pStyle w:val="ConsPlusNormal"/>
            </w:pPr>
            <w:r>
              <w:t>62:13:1170301:737</w:t>
            </w:r>
          </w:p>
          <w:p w:rsidR="004F73BF" w:rsidRDefault="004F73BF" w:rsidP="004F73BF">
            <w:pPr>
              <w:pStyle w:val="ConsPlusNormal"/>
            </w:pPr>
            <w:r>
              <w:t>62:13:1170301:738</w:t>
            </w:r>
          </w:p>
          <w:p w:rsidR="004F73BF" w:rsidRDefault="004F73BF" w:rsidP="004F73BF">
            <w:pPr>
              <w:pStyle w:val="ConsPlusNormal"/>
            </w:pPr>
            <w:r>
              <w:t>62:13:1170301:739</w:t>
            </w:r>
          </w:p>
          <w:p w:rsidR="004F73BF" w:rsidRDefault="004F73BF" w:rsidP="004F73BF">
            <w:pPr>
              <w:pStyle w:val="ConsPlusNormal"/>
            </w:pPr>
            <w:r>
              <w:t>62:13:1170301:740</w:t>
            </w:r>
          </w:p>
          <w:p w:rsidR="004F73BF" w:rsidRDefault="004F73BF" w:rsidP="004F73BF">
            <w:pPr>
              <w:pStyle w:val="ConsPlusNormal"/>
            </w:pPr>
            <w:r>
              <w:t>62:13:1170301:741</w:t>
            </w:r>
          </w:p>
          <w:p w:rsidR="004F73BF" w:rsidRDefault="004F73BF" w:rsidP="004F73BF">
            <w:pPr>
              <w:pStyle w:val="ConsPlusNormal"/>
            </w:pPr>
            <w:r>
              <w:t>62:13:1170301:1401</w:t>
            </w:r>
          </w:p>
          <w:p w:rsidR="004F73BF" w:rsidRDefault="004F73BF" w:rsidP="004F73BF">
            <w:pPr>
              <w:pStyle w:val="ConsPlusNormal"/>
            </w:pPr>
            <w:r>
              <w:t xml:space="preserve">62:13:1170301:1402 </w:t>
            </w:r>
          </w:p>
          <w:p w:rsidR="004F73BF" w:rsidRDefault="004F73BF" w:rsidP="004F73BF">
            <w:pPr>
              <w:pStyle w:val="ConsPlusNormal"/>
            </w:pPr>
            <w:r>
              <w:t>62:13:1170301:1403</w:t>
            </w:r>
          </w:p>
          <w:p w:rsidR="004F73BF" w:rsidRDefault="004F73BF" w:rsidP="004F73BF">
            <w:pPr>
              <w:pStyle w:val="ConsPlusNormal"/>
            </w:pPr>
            <w:r>
              <w:t>62:13:1170301:743</w:t>
            </w:r>
          </w:p>
          <w:p w:rsidR="004F73BF" w:rsidRDefault="004F73BF" w:rsidP="004F73BF">
            <w:pPr>
              <w:pStyle w:val="ConsPlusNormal"/>
            </w:pPr>
            <w:r>
              <w:t>62:13:1170301:744</w:t>
            </w:r>
          </w:p>
          <w:p w:rsidR="00C130E1" w:rsidRDefault="004F73BF" w:rsidP="004F73BF">
            <w:pPr>
              <w:pStyle w:val="ConsPlusNormal"/>
            </w:pPr>
            <w:r>
              <w:t>62:13:1170301:745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4F73BF" w:rsidRDefault="004F73BF" w:rsidP="004F73BF">
            <w:pPr>
              <w:pStyle w:val="ConsPlusNormal"/>
            </w:pPr>
            <w:r>
              <w:t>62:13:1170301:737 – 895 413,8</w:t>
            </w:r>
          </w:p>
          <w:p w:rsidR="004F73BF" w:rsidRDefault="004F73BF" w:rsidP="004F73BF">
            <w:pPr>
              <w:pStyle w:val="ConsPlusNormal"/>
            </w:pPr>
            <w:r>
              <w:t xml:space="preserve">62:13:1170301:738 – 21 663,0 </w:t>
            </w:r>
          </w:p>
          <w:p w:rsidR="004F73BF" w:rsidRDefault="004F73BF" w:rsidP="004F73BF">
            <w:pPr>
              <w:pStyle w:val="ConsPlusNormal"/>
            </w:pPr>
            <w:r>
              <w:t>62:13:1170301:739 – 91 748,6</w:t>
            </w:r>
          </w:p>
          <w:p w:rsidR="004F73BF" w:rsidRDefault="004F73BF" w:rsidP="004F73BF">
            <w:pPr>
              <w:pStyle w:val="ConsPlusNormal"/>
            </w:pPr>
            <w:r>
              <w:t>62:13:1170301:740 – 457 097,0</w:t>
            </w:r>
          </w:p>
          <w:p w:rsidR="004F73BF" w:rsidRDefault="004F73BF" w:rsidP="004F73BF">
            <w:pPr>
              <w:pStyle w:val="ConsPlusNormal"/>
            </w:pPr>
            <w:r>
              <w:t>62:13:1170301:741 – 16 7165,5</w:t>
            </w:r>
          </w:p>
          <w:p w:rsidR="004F73BF" w:rsidRDefault="004F73BF" w:rsidP="004F73BF">
            <w:pPr>
              <w:pStyle w:val="ConsPlusNormal"/>
            </w:pPr>
            <w:r>
              <w:t>62:13:1170301:1401-169 446,5</w:t>
            </w:r>
          </w:p>
          <w:p w:rsidR="004F73BF" w:rsidRDefault="004F73BF" w:rsidP="004F73BF">
            <w:pPr>
              <w:pStyle w:val="ConsPlusNormal"/>
            </w:pPr>
            <w:r>
              <w:t>62:13:1170301:1402-3 218,1</w:t>
            </w:r>
          </w:p>
          <w:p w:rsidR="004F73BF" w:rsidRDefault="004F73BF" w:rsidP="004F73BF">
            <w:pPr>
              <w:pStyle w:val="ConsPlusNormal"/>
            </w:pPr>
            <w:r>
              <w:t>62:13:1170301:1403- 3 218,1</w:t>
            </w:r>
          </w:p>
          <w:p w:rsidR="004F73BF" w:rsidRDefault="004F73BF" w:rsidP="004F73BF">
            <w:pPr>
              <w:pStyle w:val="ConsPlusNormal"/>
            </w:pPr>
            <w:r>
              <w:t>62:13:1170301:743 – 437 295,8</w:t>
            </w:r>
          </w:p>
          <w:p w:rsidR="004F73BF" w:rsidRDefault="004F73BF" w:rsidP="004F73BF">
            <w:pPr>
              <w:pStyle w:val="ConsPlusNormal"/>
            </w:pPr>
            <w:r>
              <w:t>62:13:1170301:744 – 988 045,3</w:t>
            </w:r>
          </w:p>
          <w:p w:rsidR="00C130E1" w:rsidRDefault="004F73BF" w:rsidP="004F73BF">
            <w:pPr>
              <w:pStyle w:val="ConsPlusNormal"/>
            </w:pPr>
            <w:r>
              <w:t>62:13:1170301:745 – 2 429,5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4F73BF" w:rsidP="00444C69">
            <w:pPr>
              <w:pStyle w:val="ConsPlusNormal"/>
            </w:pPr>
            <w:r>
              <w:t>Частная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4F73BF" w:rsidP="00444C69">
            <w:pPr>
              <w:pStyle w:val="ConsPlusNormal"/>
            </w:pPr>
            <w:r w:rsidRPr="004F73BF">
              <w:t>Аренда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4F73BF" w:rsidP="00444C69">
            <w:pPr>
              <w:pStyle w:val="ConsPlusNormal"/>
            </w:pPr>
            <w:r w:rsidRPr="004F73BF">
              <w:t>Земли промышленности, энергетики, транспорта, земли обороны, безопасности и земли иного специального назначения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A0618F" w:rsidRDefault="00A0618F" w:rsidP="00A0618F">
            <w:pPr>
              <w:pStyle w:val="ConsPlusNormal"/>
            </w:pPr>
            <w:r>
              <w:t>62:13:1170301:737- Производственная зона</w:t>
            </w:r>
          </w:p>
          <w:p w:rsidR="00A0618F" w:rsidRDefault="00A0618F" w:rsidP="00A0618F">
            <w:pPr>
              <w:pStyle w:val="ConsPlusNormal"/>
            </w:pPr>
            <w:r>
              <w:t>62:13:1170301:738 -</w:t>
            </w:r>
            <w:r w:rsidRPr="00A0618F">
              <w:t>Производственная зона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62:13:1170301:739- </w:t>
            </w:r>
            <w:r w:rsidRPr="00A0618F">
              <w:t>Производственная зона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62:13:1170301:740- </w:t>
            </w:r>
            <w:r w:rsidRPr="00A0618F">
              <w:t>Производственная зона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62:13:1170301:741- </w:t>
            </w:r>
            <w:r w:rsidRPr="00A0618F">
              <w:t>Производственная зона</w:t>
            </w:r>
          </w:p>
          <w:p w:rsidR="00A0618F" w:rsidRDefault="00A0618F" w:rsidP="00A0618F">
            <w:pPr>
              <w:pStyle w:val="ConsPlusNormal"/>
            </w:pPr>
            <w:r>
              <w:t>62:13:1170301:1401-</w:t>
            </w:r>
            <w:r w:rsidRPr="00A0618F">
              <w:t>Производственная зона</w:t>
            </w:r>
            <w:r>
              <w:t>.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62:13:1170301:1402- </w:t>
            </w:r>
            <w:r w:rsidRPr="00A0618F">
              <w:t>Производственная зона</w:t>
            </w:r>
            <w:r>
              <w:t>.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62:13:1170301:1403- </w:t>
            </w:r>
            <w:r w:rsidRPr="00A0618F">
              <w:t>Производственная зона</w:t>
            </w:r>
            <w:r>
              <w:t>.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62:13:1170301:743- </w:t>
            </w:r>
            <w:r w:rsidRPr="00A0618F">
              <w:t>Производственная зона</w:t>
            </w:r>
            <w:r>
              <w:t>.</w:t>
            </w:r>
          </w:p>
          <w:p w:rsidR="00A0618F" w:rsidRDefault="00A0618F" w:rsidP="00A0618F">
            <w:pPr>
              <w:pStyle w:val="ConsPlusNormal"/>
            </w:pPr>
            <w:r>
              <w:t xml:space="preserve">62:13:1170301:744- Зона </w:t>
            </w:r>
            <w:proofErr w:type="gramStart"/>
            <w:r>
              <w:t>сельско-хозяйственного</w:t>
            </w:r>
            <w:proofErr w:type="gramEnd"/>
            <w:r>
              <w:t xml:space="preserve"> использования.</w:t>
            </w:r>
          </w:p>
          <w:p w:rsidR="00C130E1" w:rsidRDefault="00A0618F" w:rsidP="00A0618F">
            <w:pPr>
              <w:pStyle w:val="ConsPlusNormal"/>
            </w:pPr>
            <w:r>
              <w:t xml:space="preserve">62:13:1170301:745- </w:t>
            </w:r>
            <w:r w:rsidRPr="00A0618F">
              <w:t>Производственная зона</w:t>
            </w:r>
            <w:r>
              <w:t>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1F4C81" w:rsidP="00444C69">
            <w:pPr>
              <w:pStyle w:val="ConsPlusNormal"/>
            </w:pPr>
            <w:r w:rsidRPr="001F4C81">
              <w:t>Производственная деятельность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Москвы,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4152E" w:rsidP="00444C69">
            <w:pPr>
              <w:pStyle w:val="ConsPlusNormal"/>
            </w:pPr>
            <w:r>
              <w:t>166,4/161,5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Рязани,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14152E" w:rsidP="00444C69">
            <w:pPr>
              <w:pStyle w:val="ConsPlusNormal"/>
            </w:pPr>
            <w:r>
              <w:t>3/18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B138FF" w:rsidP="00444C69">
            <w:pPr>
              <w:pStyle w:val="ConsPlusNormal"/>
            </w:pPr>
            <w:r>
              <w:t>2,8/2,4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Автомобильное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B138FF" w:rsidP="00444C69">
            <w:pPr>
              <w:pStyle w:val="ConsPlusNormal"/>
            </w:pPr>
            <w:r w:rsidRPr="00B138FF">
              <w:t>По границе участка проходит асфальтированная автодорога  М5 «Урал»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Железнодорожное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 ж</w:t>
            </w:r>
            <w:proofErr w:type="gramEnd"/>
            <w:r>
              <w:t>/д путям: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4C0015" w:rsidP="00444C69">
            <w:pPr>
              <w:pStyle w:val="ConsPlusNormal"/>
            </w:pPr>
            <w:r>
              <w:t xml:space="preserve">1,9, станция </w:t>
            </w:r>
            <w:proofErr w:type="gramStart"/>
            <w:r>
              <w:t>Рыбное</w:t>
            </w:r>
            <w:proofErr w:type="gramEnd"/>
            <w:r>
              <w:t xml:space="preserve">, ж/д  линия </w:t>
            </w:r>
            <w:r>
              <w:lastRenderedPageBreak/>
              <w:t>Москва-Рязань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Водное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речному 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причалу,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паромной переправе,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Авиасообщение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E013F6" w:rsidP="00444C69">
            <w:pPr>
              <w:pStyle w:val="ConsPlusNormal"/>
            </w:pPr>
            <w:r>
              <w:t>126,  аэропорт Домодедово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аэродрому,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8B2160" w:rsidP="00444C69">
            <w:pPr>
              <w:pStyle w:val="ConsPlusNormal"/>
            </w:pPr>
            <w:r>
              <w:t>2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1E608E" w:rsidP="00444C69">
            <w:pPr>
              <w:pStyle w:val="ConsPlusNormal"/>
            </w:pPr>
            <w:r>
              <w:t>1</w:t>
            </w:r>
            <w:r w:rsidR="008B2160">
              <w:t>0000</w:t>
            </w:r>
            <w:r w:rsidR="00E31D02">
              <w:t xml:space="preserve">, в непосредственной близости </w:t>
            </w:r>
            <w:r w:rsidR="00A0618F">
              <w:t>проходит газопровод высокого давления.  Есть возможность врезки.</w:t>
            </w:r>
          </w:p>
        </w:tc>
        <w:bookmarkStart w:id="0" w:name="_GoBack"/>
        <w:bookmarkEnd w:id="0"/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E31D02" w:rsidP="00444C69">
            <w:pPr>
              <w:pStyle w:val="ConsPlusNormal"/>
            </w:pPr>
            <w:r>
              <w:t>д. Зеленинские дворики. Билайн (проводной).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C130E1" w:rsidRDefault="008B2160" w:rsidP="00444C69">
            <w:pPr>
              <w:pStyle w:val="ConsPlusNormal"/>
            </w:pPr>
            <w:r w:rsidRPr="008B2160">
              <w:t>Алехин Артем Александрович, 8(916)152-90-03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Инвестиционный уполномоченный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724" w:type="dxa"/>
          </w:tcPr>
          <w:p w:rsidR="008B2160" w:rsidRDefault="008B2160" w:rsidP="008B2160">
            <w:pPr>
              <w:pStyle w:val="ConsPlusNormal"/>
            </w:pPr>
            <w:r>
              <w:t>Копылова Екатерина Михайловна  8(49137) 5-31-03</w:t>
            </w:r>
          </w:p>
          <w:p w:rsidR="00C130E1" w:rsidRDefault="008B2160" w:rsidP="008B2160">
            <w:pPr>
              <w:pStyle w:val="ConsPlusNormal"/>
            </w:pPr>
            <w:r>
              <w:t>8-967-004-56-70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8B2160" w:rsidP="00444C69">
            <w:pPr>
              <w:pStyle w:val="ConsPlusNormal"/>
            </w:pPr>
            <w:r>
              <w:t>25.03.2024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1E608E" w:rsidP="00444C69">
            <w:pPr>
              <w:pStyle w:val="ConsPlusNormal"/>
            </w:pPr>
            <w:hyperlink r:id="rId5" w:history="1">
              <w:r w:rsidR="00E013F6" w:rsidRPr="00D266FB">
                <w:rPr>
                  <w:rStyle w:val="a5"/>
                </w:rPr>
                <w:t>https://investryazan.ru/ru/page/investiczionnaya-deklaracziya</w:t>
              </w:r>
            </w:hyperlink>
            <w:r w:rsidR="00E013F6">
              <w:t xml:space="preserve">  </w:t>
            </w:r>
            <w:r w:rsidR="00E013F6" w:rsidRPr="00E013F6">
              <w:t xml:space="preserve"> </w:t>
            </w:r>
            <w:r w:rsidR="00E013F6" w:rsidRPr="00E013F6">
              <w:cr/>
            </w:r>
            <w:r w:rsidR="00E013F6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Pr="008B2160" w:rsidRDefault="008B2160" w:rsidP="00444C69">
            <w:pPr>
              <w:pStyle w:val="ConsPlusNormal"/>
            </w:pPr>
            <w:r>
              <w:rPr>
                <w:lang w:val="en-US"/>
              </w:rPr>
              <w:t>IV</w:t>
            </w:r>
            <w:r>
              <w:t xml:space="preserve"> класс (100 м.)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130E1" w:rsidRDefault="00C130E1" w:rsidP="00444C69">
            <w:pPr>
              <w:pStyle w:val="ConsPlusNormal"/>
            </w:pPr>
            <w:r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офисных,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складских, 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Высота потолков,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Шаг колонн,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Протяженность объекта капитального строительства,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Количество этажей, включая </w:t>
            </w:r>
            <w:proofErr w:type="gramStart"/>
            <w: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  <w:r>
              <w:t>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both"/>
      </w:pPr>
    </w:p>
    <w:p w:rsidR="00007FB4" w:rsidRDefault="001E608E"/>
    <w:sectPr w:rsidR="000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05416D"/>
    <w:rsid w:val="0014152E"/>
    <w:rsid w:val="001E608E"/>
    <w:rsid w:val="001F4C81"/>
    <w:rsid w:val="00363BE9"/>
    <w:rsid w:val="004C0015"/>
    <w:rsid w:val="004F73BF"/>
    <w:rsid w:val="00814DCC"/>
    <w:rsid w:val="008B2160"/>
    <w:rsid w:val="00A0618F"/>
    <w:rsid w:val="00B138FF"/>
    <w:rsid w:val="00BB3118"/>
    <w:rsid w:val="00C130E1"/>
    <w:rsid w:val="00E013F6"/>
    <w:rsid w:val="00E31D02"/>
    <w:rsid w:val="00E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5</cp:revision>
  <cp:lastPrinted>2024-03-22T10:21:00Z</cp:lastPrinted>
  <dcterms:created xsi:type="dcterms:W3CDTF">2024-03-22T10:14:00Z</dcterms:created>
  <dcterms:modified xsi:type="dcterms:W3CDTF">2024-03-28T11:03:00Z</dcterms:modified>
</cp:coreProperties>
</file>