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4DE4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66ADFEF1" w14:textId="77777777" w:rsidTr="00B01792">
        <w:tc>
          <w:tcPr>
            <w:tcW w:w="817" w:type="dxa"/>
          </w:tcPr>
          <w:p w14:paraId="5456E2B1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2443895A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4DF90E7F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599A49FE" w14:textId="77777777" w:rsidTr="00FF7A9A">
        <w:tc>
          <w:tcPr>
            <w:tcW w:w="15275" w:type="dxa"/>
            <w:gridSpan w:val="7"/>
          </w:tcPr>
          <w:p w14:paraId="3C1A5777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4FB72E06" w14:textId="77777777" w:rsidTr="00B01792">
        <w:tc>
          <w:tcPr>
            <w:tcW w:w="817" w:type="dxa"/>
          </w:tcPr>
          <w:p w14:paraId="0F1586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CF951E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1986DC1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0582F51" w14:textId="77777777" w:rsidTr="00FF7A9A">
        <w:tc>
          <w:tcPr>
            <w:tcW w:w="15275" w:type="dxa"/>
            <w:gridSpan w:val="7"/>
          </w:tcPr>
          <w:p w14:paraId="416D7CC3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38DB008A" w14:textId="77777777" w:rsidTr="00B01792">
        <w:tc>
          <w:tcPr>
            <w:tcW w:w="817" w:type="dxa"/>
          </w:tcPr>
          <w:p w14:paraId="721BEE2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348CED38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D755217" w14:textId="48B81598" w:rsidR="005E46E7" w:rsidRPr="00410BBA" w:rsidRDefault="001635B8" w:rsidP="00CB7472">
            <w:pPr>
              <w:ind w:left="1"/>
              <w:rPr>
                <w:rFonts w:ascii="Times New Roman" w:hAnsi="Times New Roman" w:cs="Times New Roman"/>
              </w:rPr>
            </w:pP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Земельный участок площадью </w:t>
            </w:r>
            <w:r w:rsidR="00A5197B">
              <w:rPr>
                <w:rFonts w:ascii="Times New Roman" w:hAnsi="Times New Roman" w:cs="Times New Roman"/>
                <w:shd w:val="clear" w:color="auto" w:fill="FFFFFF"/>
              </w:rPr>
              <w:t xml:space="preserve">в </w:t>
            </w:r>
            <w:r w:rsidRPr="00410BBA">
              <w:rPr>
                <w:rFonts w:ascii="Times New Roman" w:hAnsi="Times New Roman" w:cs="Times New Roman"/>
                <w:shd w:val="clear" w:color="auto" w:fill="FFFFFF"/>
              </w:rPr>
              <w:t>0,0727 га</w:t>
            </w:r>
            <w:r w:rsidR="00A5197B">
              <w:rPr>
                <w:rFonts w:ascii="Times New Roman" w:hAnsi="Times New Roman" w:cs="Times New Roman"/>
                <w:shd w:val="clear" w:color="auto" w:fill="FFFFFF"/>
              </w:rPr>
              <w:t xml:space="preserve"> для строительства объектов дорожного сервиса </w:t>
            </w:r>
          </w:p>
        </w:tc>
      </w:tr>
      <w:tr w:rsidR="005E46E7" w:rsidRPr="00D703E4" w14:paraId="7106B154" w14:textId="77777777" w:rsidTr="00B01792">
        <w:tc>
          <w:tcPr>
            <w:tcW w:w="817" w:type="dxa"/>
          </w:tcPr>
          <w:p w14:paraId="44B0933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0C59BB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DB2FFB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44CC69E1" w14:textId="77777777" w:rsidR="005E46E7" w:rsidRPr="00D122F8" w:rsidRDefault="005E46E7" w:rsidP="009A29D8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6CA05D9" w14:textId="77777777" w:rsidTr="00B01792">
        <w:tc>
          <w:tcPr>
            <w:tcW w:w="817" w:type="dxa"/>
          </w:tcPr>
          <w:p w14:paraId="28CDE67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E1036BA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F107E4C" w14:textId="77777777" w:rsidR="005E46E7" w:rsidRPr="001011B7" w:rsidRDefault="005E46E7" w:rsidP="001011B7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69F5064" w14:textId="77777777" w:rsidTr="00B01792">
        <w:tc>
          <w:tcPr>
            <w:tcW w:w="817" w:type="dxa"/>
          </w:tcPr>
          <w:p w14:paraId="4F4F204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9765AB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0242B56" w14:textId="77777777" w:rsidR="005E46E7" w:rsidRPr="001011B7" w:rsidRDefault="005E46E7" w:rsidP="001011B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6E24850F" w14:textId="77777777" w:rsidTr="00B01792">
        <w:tc>
          <w:tcPr>
            <w:tcW w:w="817" w:type="dxa"/>
          </w:tcPr>
          <w:p w14:paraId="58DBF77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B1D392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60E5020" w14:textId="77777777" w:rsidR="005E46E7" w:rsidRPr="00E2548C" w:rsidRDefault="005E46E7" w:rsidP="001011B7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9CFDD7B" w14:textId="77777777" w:rsidTr="00B01792">
        <w:tc>
          <w:tcPr>
            <w:tcW w:w="817" w:type="dxa"/>
          </w:tcPr>
          <w:p w14:paraId="0A117B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B9ACF0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D2C5BEF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7CBB12" w14:textId="77777777" w:rsidTr="00B01792">
        <w:tc>
          <w:tcPr>
            <w:tcW w:w="817" w:type="dxa"/>
          </w:tcPr>
          <w:p w14:paraId="267082B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526CF5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2AD6BD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68F4B89F" w14:textId="77777777" w:rsidTr="00B01792">
        <w:tc>
          <w:tcPr>
            <w:tcW w:w="817" w:type="dxa"/>
          </w:tcPr>
          <w:p w14:paraId="30217409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6D5696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39F7FC1" w14:textId="77777777" w:rsidR="00D122F8" w:rsidRPr="004A196B" w:rsidRDefault="001011B7" w:rsidP="001011B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Старожиловский округ</w:t>
            </w:r>
          </w:p>
        </w:tc>
      </w:tr>
      <w:tr w:rsidR="00D122F8" w:rsidRPr="00D703E4" w14:paraId="1F4208E7" w14:textId="77777777" w:rsidTr="00B01792">
        <w:tc>
          <w:tcPr>
            <w:tcW w:w="817" w:type="dxa"/>
          </w:tcPr>
          <w:p w14:paraId="0F5B9DBB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BECCF9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CA5595" w14:textId="08CE0F02" w:rsidR="00D122F8" w:rsidRPr="006C1A9E" w:rsidRDefault="001011B7" w:rsidP="001011B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Рязанская область, Старожиловский </w:t>
            </w:r>
            <w:r w:rsidR="00A5197B">
              <w:rPr>
                <w:rFonts w:ascii="Times New Roman" w:hAnsi="Times New Roman" w:cs="Times New Roman"/>
                <w:i/>
              </w:rPr>
              <w:t>округ</w:t>
            </w:r>
            <w:r>
              <w:rPr>
                <w:rFonts w:ascii="Times New Roman" w:hAnsi="Times New Roman" w:cs="Times New Roman"/>
                <w:i/>
              </w:rPr>
              <w:t xml:space="preserve">, р.п. Старожилово, </w:t>
            </w:r>
            <w:r w:rsidR="006C1A9E">
              <w:rPr>
                <w:rFonts w:ascii="Times New Roman" w:hAnsi="Times New Roman" w:cs="Times New Roman"/>
                <w:i/>
              </w:rPr>
              <w:t xml:space="preserve"> ул.</w:t>
            </w:r>
            <w:r>
              <w:rPr>
                <w:rFonts w:ascii="Times New Roman" w:hAnsi="Times New Roman" w:cs="Times New Roman"/>
                <w:i/>
              </w:rPr>
              <w:t>Толстого</w:t>
            </w:r>
          </w:p>
        </w:tc>
      </w:tr>
      <w:tr w:rsidR="00D122F8" w:rsidRPr="00D703E4" w14:paraId="3B642A47" w14:textId="77777777" w:rsidTr="00B01792">
        <w:tc>
          <w:tcPr>
            <w:tcW w:w="817" w:type="dxa"/>
          </w:tcPr>
          <w:p w14:paraId="435C3C3E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7FE473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96BE604" w14:textId="77777777" w:rsidR="00D122F8" w:rsidRPr="00D703E4" w:rsidRDefault="00D122F8" w:rsidP="001011B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1011B7">
              <w:rPr>
                <w:rFonts w:ascii="Times New Roman" w:hAnsi="Times New Roman" w:cs="Times New Roman"/>
                <w:i/>
              </w:rPr>
              <w:t>г. Рязань</w:t>
            </w:r>
          </w:p>
        </w:tc>
      </w:tr>
      <w:tr w:rsidR="00D122F8" w:rsidRPr="00D703E4" w14:paraId="60A3592C" w14:textId="77777777" w:rsidTr="00B01792">
        <w:tc>
          <w:tcPr>
            <w:tcW w:w="817" w:type="dxa"/>
          </w:tcPr>
          <w:p w14:paraId="0CB6C554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ABCF1B1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910CC3" w14:textId="77777777" w:rsidR="00D122F8" w:rsidRPr="001011B7" w:rsidRDefault="00D122F8" w:rsidP="001011B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55BDF997" w14:textId="77777777" w:rsidTr="00B01792">
        <w:tc>
          <w:tcPr>
            <w:tcW w:w="817" w:type="dxa"/>
          </w:tcPr>
          <w:p w14:paraId="75A0DFFF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7BE32DF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6B26AF5" w14:textId="77777777" w:rsidR="00D122F8" w:rsidRPr="001011B7" w:rsidRDefault="00D122F8" w:rsidP="001011B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18716B51" w14:textId="77777777" w:rsidTr="00FF7A9A">
        <w:tc>
          <w:tcPr>
            <w:tcW w:w="15275" w:type="dxa"/>
            <w:gridSpan w:val="7"/>
          </w:tcPr>
          <w:p w14:paraId="741D05B8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5E996B49" w14:textId="77777777" w:rsidTr="00B01792">
        <w:tc>
          <w:tcPr>
            <w:tcW w:w="817" w:type="dxa"/>
          </w:tcPr>
          <w:p w14:paraId="522EC57C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75B15B0" w14:textId="77777777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C5BF381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5D485C66" w14:textId="77777777" w:rsidTr="00FF7A9A">
        <w:tc>
          <w:tcPr>
            <w:tcW w:w="15275" w:type="dxa"/>
            <w:gridSpan w:val="7"/>
          </w:tcPr>
          <w:p w14:paraId="3EB5BE0A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5AB1716E" w14:textId="77777777" w:rsidTr="00B01792">
        <w:tc>
          <w:tcPr>
            <w:tcW w:w="817" w:type="dxa"/>
          </w:tcPr>
          <w:p w14:paraId="3C0D9BEF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123E25C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8AFC8A7" w14:textId="77777777" w:rsidR="008E3B16" w:rsidRPr="003B15D3" w:rsidRDefault="00CB7472" w:rsidP="003B15D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20EDF12F" w14:textId="77777777" w:rsidTr="00B01792">
        <w:tc>
          <w:tcPr>
            <w:tcW w:w="817" w:type="dxa"/>
          </w:tcPr>
          <w:p w14:paraId="64595CBB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3474E9E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19FF7AF" w14:textId="77777777" w:rsidR="00D122F8" w:rsidRPr="003B773E" w:rsidRDefault="00D122F8" w:rsidP="003B773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99924A8" w14:textId="77777777" w:rsidTr="00B01792">
        <w:tc>
          <w:tcPr>
            <w:tcW w:w="817" w:type="dxa"/>
          </w:tcPr>
          <w:p w14:paraId="634A4E3F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A8AD3D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(покупки или месячной </w:t>
            </w:r>
            <w:r w:rsidRPr="00E115E9">
              <w:rPr>
                <w:rFonts w:ascii="Times New Roman" w:hAnsi="Times New Roman" w:cs="Times New Roman"/>
              </w:rPr>
              <w:lastRenderedPageBreak/>
              <w:t>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460ADBA5" w14:textId="77777777" w:rsidR="00D775B4" w:rsidRPr="00D703E4" w:rsidRDefault="00556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141631,232</w:t>
            </w:r>
          </w:p>
        </w:tc>
      </w:tr>
      <w:tr w:rsidR="00D775B4" w:rsidRPr="00D703E4" w14:paraId="5612F3F2" w14:textId="77777777" w:rsidTr="00B01792">
        <w:tc>
          <w:tcPr>
            <w:tcW w:w="817" w:type="dxa"/>
          </w:tcPr>
          <w:p w14:paraId="73200118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DD6DB2C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26A2FEBA" w14:textId="77777777" w:rsidR="00D775B4" w:rsidRPr="00D703E4" w:rsidRDefault="005561EA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1948160</w:t>
            </w:r>
          </w:p>
        </w:tc>
      </w:tr>
      <w:tr w:rsidR="00D775B4" w:rsidRPr="00D703E4" w14:paraId="0E195AF8" w14:textId="77777777" w:rsidTr="00B01792">
        <w:tc>
          <w:tcPr>
            <w:tcW w:w="817" w:type="dxa"/>
          </w:tcPr>
          <w:p w14:paraId="3025649B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91520C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530551A0" w14:textId="77777777" w:rsidR="00D775B4" w:rsidRPr="00D703E4" w:rsidRDefault="005561EA" w:rsidP="007A7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194,816</w:t>
            </w:r>
          </w:p>
        </w:tc>
      </w:tr>
      <w:tr w:rsidR="00D775B4" w:rsidRPr="00D703E4" w14:paraId="0A79A665" w14:textId="77777777" w:rsidTr="00B01792">
        <w:tc>
          <w:tcPr>
            <w:tcW w:w="817" w:type="dxa"/>
          </w:tcPr>
          <w:p w14:paraId="7DC38886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5971DE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6F722EC8" w14:textId="77777777" w:rsidR="00D775B4" w:rsidRPr="00D703E4" w:rsidRDefault="00354819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16A240B7" w14:textId="77777777" w:rsidTr="00B01792">
        <w:tc>
          <w:tcPr>
            <w:tcW w:w="817" w:type="dxa"/>
          </w:tcPr>
          <w:p w14:paraId="77F12E5B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A8C45B4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725AF2EA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2625E3D6" w14:textId="7777777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B47A8E" w14:textId="77777777" w:rsidTr="00B01792">
        <w:tc>
          <w:tcPr>
            <w:tcW w:w="817" w:type="dxa"/>
          </w:tcPr>
          <w:p w14:paraId="69997A41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F3FE4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0E6EF4DD" w14:textId="77777777" w:rsidR="00D775B4" w:rsidRPr="005E1E97" w:rsidRDefault="00D775B4" w:rsidP="005E1E9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7A1FBF82" w14:textId="77777777" w:rsidTr="00B01792">
        <w:tc>
          <w:tcPr>
            <w:tcW w:w="817" w:type="dxa"/>
          </w:tcPr>
          <w:p w14:paraId="13CE833D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8D72FB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7180ED62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1DA2E21F" w14:textId="77777777" w:rsidTr="00FF7A9A">
        <w:tc>
          <w:tcPr>
            <w:tcW w:w="15275" w:type="dxa"/>
            <w:gridSpan w:val="7"/>
          </w:tcPr>
          <w:p w14:paraId="2F02E89F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18150B7D" w14:textId="77777777" w:rsidTr="00B01792">
        <w:tc>
          <w:tcPr>
            <w:tcW w:w="817" w:type="dxa"/>
          </w:tcPr>
          <w:p w14:paraId="0CC9883F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7C8938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06A8E2E4" w14:textId="77777777" w:rsidR="00DB0F0E" w:rsidRPr="00D703E4" w:rsidRDefault="008A5FF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0,0727</w:t>
            </w:r>
          </w:p>
        </w:tc>
      </w:tr>
      <w:tr w:rsidR="005E46E7" w:rsidRPr="00D703E4" w14:paraId="5AF4A6B6" w14:textId="77777777" w:rsidTr="00B01792">
        <w:tc>
          <w:tcPr>
            <w:tcW w:w="817" w:type="dxa"/>
          </w:tcPr>
          <w:p w14:paraId="7A6678E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38FC20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4D2D391B" w14:textId="77777777" w:rsidR="005E46E7" w:rsidRPr="00D703E4" w:rsidRDefault="008A5FF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62:21:0030101:6</w:t>
            </w:r>
          </w:p>
        </w:tc>
      </w:tr>
      <w:tr w:rsidR="00901788" w:rsidRPr="00D703E4" w14:paraId="76D78661" w14:textId="77777777" w:rsidTr="00B01792">
        <w:tc>
          <w:tcPr>
            <w:tcW w:w="817" w:type="dxa"/>
          </w:tcPr>
          <w:p w14:paraId="76AC6F27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311F9B" w14:textId="77777777" w:rsidR="00901788" w:rsidRPr="00233341" w:rsidRDefault="00901788" w:rsidP="00D777FC">
            <w:p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79661A4" w14:textId="77777777" w:rsidR="00901788" w:rsidRPr="00233341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2F2C8C5F" w14:textId="77777777" w:rsidR="00901788" w:rsidRPr="00233341" w:rsidRDefault="00901788" w:rsidP="0023334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14:paraId="5B11F067" w14:textId="77777777" w:rsidR="00901788" w:rsidRPr="00233341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Автомобильные мойки</w:t>
            </w:r>
          </w:p>
          <w:p w14:paraId="5A407BBA" w14:textId="77777777" w:rsidR="00901788" w:rsidRPr="00233341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Ремонт автомобилей</w:t>
            </w:r>
          </w:p>
        </w:tc>
      </w:tr>
      <w:tr w:rsidR="00FF5CC2" w:rsidRPr="00D703E4" w14:paraId="22B022F4" w14:textId="77777777" w:rsidTr="00B01792">
        <w:tc>
          <w:tcPr>
            <w:tcW w:w="817" w:type="dxa"/>
          </w:tcPr>
          <w:p w14:paraId="454B2216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6780BA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3C25E80" w14:textId="77777777" w:rsidR="005F2E19" w:rsidRPr="00233341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03AF44A4" w14:textId="77777777" w:rsidTr="00B01792">
        <w:tc>
          <w:tcPr>
            <w:tcW w:w="817" w:type="dxa"/>
          </w:tcPr>
          <w:p w14:paraId="5A39A4EF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0794ACD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8377C7A" w14:textId="77777777" w:rsidR="00FF5CC2" w:rsidRPr="00233341" w:rsidRDefault="00FF5CC2" w:rsidP="0023334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07920723" w14:textId="77777777" w:rsidTr="00FF7A9A">
        <w:tc>
          <w:tcPr>
            <w:tcW w:w="15275" w:type="dxa"/>
            <w:gridSpan w:val="7"/>
          </w:tcPr>
          <w:p w14:paraId="75E905D7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AC2B197" w14:textId="77777777" w:rsidTr="00B01792">
        <w:tc>
          <w:tcPr>
            <w:tcW w:w="817" w:type="dxa"/>
          </w:tcPr>
          <w:p w14:paraId="08289146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759EFD1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051E00B" w14:textId="77777777" w:rsidR="00FF5CC2" w:rsidRPr="00233341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100CEBE7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2F6F49EE" w14:textId="77777777" w:rsidTr="00B01792">
        <w:tc>
          <w:tcPr>
            <w:tcW w:w="817" w:type="dxa"/>
          </w:tcPr>
          <w:p w14:paraId="7A23E24A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AD3B6D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CD98E5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23A28B9E" w14:textId="77777777" w:rsidTr="00B01792">
        <w:tc>
          <w:tcPr>
            <w:tcW w:w="817" w:type="dxa"/>
          </w:tcPr>
          <w:p w14:paraId="5B7406E7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39A4C9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777376D4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42DE162F" w14:textId="77777777" w:rsidTr="00B01792">
        <w:tc>
          <w:tcPr>
            <w:tcW w:w="817" w:type="dxa"/>
          </w:tcPr>
          <w:p w14:paraId="2DD2F5C1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2AC049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01F7BD3" w14:textId="77777777" w:rsidR="00FF5CC2" w:rsidRPr="00D703E4" w:rsidRDefault="004D017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Администрация Старожиловского муниципального округа Рязанской области</w:t>
            </w:r>
          </w:p>
        </w:tc>
      </w:tr>
      <w:tr w:rsidR="005E46E7" w:rsidRPr="00D703E4" w14:paraId="1D33E854" w14:textId="77777777" w:rsidTr="00B01792">
        <w:tc>
          <w:tcPr>
            <w:tcW w:w="817" w:type="dxa"/>
          </w:tcPr>
          <w:p w14:paraId="5D05DC51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E2080F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E5C1239" w14:textId="77777777" w:rsidR="005E46E7" w:rsidRPr="00FF5CC2" w:rsidRDefault="004D0172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6200018655</w:t>
            </w:r>
          </w:p>
        </w:tc>
      </w:tr>
      <w:tr w:rsidR="00FF5CC2" w:rsidRPr="00D703E4" w14:paraId="6E144F1B" w14:textId="77777777" w:rsidTr="00B01792">
        <w:tc>
          <w:tcPr>
            <w:tcW w:w="817" w:type="dxa"/>
          </w:tcPr>
          <w:p w14:paraId="6B64AD43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057DFE0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163443A8" w14:textId="77777777" w:rsidR="00FF5CC2" w:rsidRPr="00D703E4" w:rsidRDefault="008E3B16" w:rsidP="008E3B1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Бергсон Светлана Львовна</w:t>
            </w:r>
          </w:p>
        </w:tc>
      </w:tr>
      <w:tr w:rsidR="00FF5CC2" w:rsidRPr="00D703E4" w14:paraId="189A58F5" w14:textId="77777777" w:rsidTr="00B01792">
        <w:tc>
          <w:tcPr>
            <w:tcW w:w="817" w:type="dxa"/>
          </w:tcPr>
          <w:p w14:paraId="1C2BBF2A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516794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 xml:space="preserve">e-mail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FF70E2" w14:textId="77777777" w:rsidR="00FF5CC2" w:rsidRPr="008E3B16" w:rsidRDefault="008E3B16" w:rsidP="008E3B16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8(49151)2-14-78,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kumistar@mail.ru</w:t>
            </w:r>
          </w:p>
        </w:tc>
      </w:tr>
      <w:tr w:rsidR="00FF5CC2" w:rsidRPr="00D703E4" w14:paraId="372FBF86" w14:textId="77777777" w:rsidTr="00B01792">
        <w:tc>
          <w:tcPr>
            <w:tcW w:w="817" w:type="dxa"/>
          </w:tcPr>
          <w:p w14:paraId="74537416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0995BF7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5669E2D4" w14:textId="77777777" w:rsidR="00FF5CC2" w:rsidRPr="008E3B16" w:rsidRDefault="008E3B16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https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://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star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ryazan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FF5CC2" w:rsidRPr="00D703E4" w14:paraId="6BB50E5E" w14:textId="77777777" w:rsidTr="00B01792">
        <w:tc>
          <w:tcPr>
            <w:tcW w:w="817" w:type="dxa"/>
          </w:tcPr>
          <w:p w14:paraId="3DD34FB9" w14:textId="77777777" w:rsidR="00FF5CC2" w:rsidRPr="008E3B16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A63017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788FD1EC" w14:textId="77777777" w:rsidR="004908DB" w:rsidRPr="004908DB" w:rsidRDefault="004908DB" w:rsidP="0049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ограничения прав на земельный участок, предусмотренные статьей 56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Земельного кодекса Российской Федерации; срок действия: c 05.12.2023; реквизиты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документа-основания: постановление об утверждении Правил охраны линий и сооружений связи</w:t>
            </w:r>
          </w:p>
          <w:p w14:paraId="40753668" w14:textId="77777777" w:rsidR="00FF5CC2" w:rsidRPr="006E40AC" w:rsidRDefault="004908DB" w:rsidP="00160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4908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Российской Федерации от 09.06.1995 № 578.</w:t>
            </w:r>
          </w:p>
        </w:tc>
      </w:tr>
      <w:tr w:rsidR="005E46E7" w:rsidRPr="00D703E4" w14:paraId="256BC49F" w14:textId="77777777" w:rsidTr="00FF7A9A">
        <w:tc>
          <w:tcPr>
            <w:tcW w:w="15275" w:type="dxa"/>
            <w:gridSpan w:val="7"/>
          </w:tcPr>
          <w:p w14:paraId="1BF51D25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6F11E098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3262D9BC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547D03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F0AF244" w14:textId="77777777" w:rsidR="0029142B" w:rsidRPr="002473C5" w:rsidRDefault="0029142B" w:rsidP="002473C5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61FD0E5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41B1DC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F515745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E8DC9F5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89985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9A52CE0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0B751DC" w14:textId="77777777" w:rsidR="0029142B" w:rsidRPr="00D703E4" w:rsidRDefault="007D3C8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</w:t>
            </w:r>
            <w:r w:rsidR="0029142B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53CC3F82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DAD4F38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5CC4EDE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09E6EF71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B7C6A95" w14:textId="77777777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2873027D" w14:textId="77777777" w:rsidTr="00B01792">
        <w:trPr>
          <w:trHeight w:val="887"/>
        </w:trPr>
        <w:tc>
          <w:tcPr>
            <w:tcW w:w="817" w:type="dxa"/>
            <w:vMerge/>
          </w:tcPr>
          <w:p w14:paraId="1BE21AD6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C2C41B5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8E19EE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29A2889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F11EC15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7D9AB313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2D4CAC0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28FF1F6" w14:textId="77777777" w:rsidTr="00B01792">
        <w:trPr>
          <w:trHeight w:val="469"/>
        </w:trPr>
        <w:tc>
          <w:tcPr>
            <w:tcW w:w="817" w:type="dxa"/>
            <w:vMerge/>
          </w:tcPr>
          <w:p w14:paraId="5F334DF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433E1F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4B2FDFD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1C67467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56C74A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CC4E1D7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81902DF" w14:textId="77777777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47DD2C84" w14:textId="77777777" w:rsidTr="00B01792">
        <w:trPr>
          <w:trHeight w:val="381"/>
        </w:trPr>
        <w:tc>
          <w:tcPr>
            <w:tcW w:w="817" w:type="dxa"/>
            <w:vMerge/>
          </w:tcPr>
          <w:p w14:paraId="4742591C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6172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07FA2FB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B9C6135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94A08EB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3844F0F8" w14:textId="77777777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98C51A0" w14:textId="77777777" w:rsidTr="00B01792">
        <w:trPr>
          <w:trHeight w:val="381"/>
        </w:trPr>
        <w:tc>
          <w:tcPr>
            <w:tcW w:w="817" w:type="dxa"/>
            <w:vMerge/>
          </w:tcPr>
          <w:p w14:paraId="0B01964E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EFD359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98BF33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8FD944B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32EAD87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40C3FB4B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80BD72" w14:textId="77777777" w:rsidTr="00B01792">
        <w:trPr>
          <w:trHeight w:val="381"/>
        </w:trPr>
        <w:tc>
          <w:tcPr>
            <w:tcW w:w="817" w:type="dxa"/>
            <w:vMerge/>
          </w:tcPr>
          <w:p w14:paraId="572437B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7B855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4B6094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68DEF7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6E293EF6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3F61582E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5F6CEE7" w14:textId="77777777" w:rsidTr="00B01792">
        <w:trPr>
          <w:trHeight w:val="381"/>
        </w:trPr>
        <w:tc>
          <w:tcPr>
            <w:tcW w:w="817" w:type="dxa"/>
            <w:vMerge/>
          </w:tcPr>
          <w:p w14:paraId="29F0850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B2B088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F2C703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8C978C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442A8CEF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2F6D7A3A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466BC2C5" w14:textId="77777777" w:rsidTr="00B01792">
        <w:trPr>
          <w:trHeight w:val="381"/>
        </w:trPr>
        <w:tc>
          <w:tcPr>
            <w:tcW w:w="817" w:type="dxa"/>
            <w:vMerge/>
          </w:tcPr>
          <w:p w14:paraId="386C208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727AB4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E1FE3C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3E315EA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CCB534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мощность, куб. м/ч </w:t>
            </w:r>
          </w:p>
        </w:tc>
        <w:tc>
          <w:tcPr>
            <w:tcW w:w="5514" w:type="dxa"/>
          </w:tcPr>
          <w:p w14:paraId="6D508E30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6094A209" w14:textId="77777777" w:rsidTr="00B01792">
        <w:trPr>
          <w:trHeight w:val="381"/>
        </w:trPr>
        <w:tc>
          <w:tcPr>
            <w:tcW w:w="817" w:type="dxa"/>
            <w:vMerge/>
          </w:tcPr>
          <w:p w14:paraId="2F1BD8C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593D7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98B868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9E73902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682E9A7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574A831C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D4886D7" w14:textId="77777777" w:rsidTr="00B01792">
        <w:tc>
          <w:tcPr>
            <w:tcW w:w="817" w:type="dxa"/>
            <w:vMerge w:val="restart"/>
          </w:tcPr>
          <w:p w14:paraId="41191D71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7B8B60A6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D07B006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AF8A96D" w14:textId="77777777" w:rsidR="005E46E7" w:rsidRPr="002473C5" w:rsidRDefault="005E46E7" w:rsidP="002473C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0888CD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1910B6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7001D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803FD4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C1995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C973B2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0C4B7A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5C6914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DC13F0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99C5D7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EB986B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3E725CC5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45DCB2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F2955" w14:textId="77777777" w:rsidTr="00B01792">
        <w:tc>
          <w:tcPr>
            <w:tcW w:w="817" w:type="dxa"/>
            <w:vMerge/>
          </w:tcPr>
          <w:p w14:paraId="4269CBD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BE840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ADBB07E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0EDB9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A0A2504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623ACE09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50005A4" w14:textId="77777777" w:rsidTr="00B01792">
        <w:tc>
          <w:tcPr>
            <w:tcW w:w="817" w:type="dxa"/>
            <w:vMerge/>
          </w:tcPr>
          <w:p w14:paraId="4BE1513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F63CD9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A8900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DEC33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0F455B3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28886E66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F6449F4" w14:textId="77777777" w:rsidTr="00B01792">
        <w:tc>
          <w:tcPr>
            <w:tcW w:w="817" w:type="dxa"/>
            <w:vMerge/>
          </w:tcPr>
          <w:p w14:paraId="3CE51C1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73DBC6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C31BF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F148ED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2B8020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28339EEA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FBA148" w14:textId="77777777" w:rsidTr="00B01792">
        <w:tc>
          <w:tcPr>
            <w:tcW w:w="817" w:type="dxa"/>
            <w:vMerge/>
          </w:tcPr>
          <w:p w14:paraId="2575F26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E12E50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1BA852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B9438E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0581E8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F972F3A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906E36" w14:textId="77777777" w:rsidTr="00B01792">
        <w:tc>
          <w:tcPr>
            <w:tcW w:w="817" w:type="dxa"/>
            <w:vMerge/>
          </w:tcPr>
          <w:p w14:paraId="31671F7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302A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EEA724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32ED48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69C0480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A658AF3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0E8C390" w14:textId="77777777" w:rsidTr="00B01792">
        <w:tc>
          <w:tcPr>
            <w:tcW w:w="817" w:type="dxa"/>
            <w:vMerge/>
          </w:tcPr>
          <w:p w14:paraId="33E0D09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AF8C9F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3B2801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1E89B0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390C0A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533C71D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A5ABD86" w14:textId="77777777" w:rsidTr="00B01792">
        <w:tc>
          <w:tcPr>
            <w:tcW w:w="817" w:type="dxa"/>
            <w:vMerge/>
          </w:tcPr>
          <w:p w14:paraId="0CA33F7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C644AB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A4533CD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BE13E0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B15645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EB82B1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1249DD" w14:textId="77777777" w:rsidTr="00B01792">
        <w:tc>
          <w:tcPr>
            <w:tcW w:w="817" w:type="dxa"/>
            <w:vMerge/>
          </w:tcPr>
          <w:p w14:paraId="562563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733438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A74CB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37ED5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299E88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457AFB9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85165C" w14:textId="77777777" w:rsidTr="00B01792">
        <w:tc>
          <w:tcPr>
            <w:tcW w:w="817" w:type="dxa"/>
            <w:vMerge/>
          </w:tcPr>
          <w:p w14:paraId="4AA868B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9C7297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88EE8BD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D837613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755817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76543513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B2C53" w14:textId="77777777" w:rsidTr="00B01792">
        <w:tc>
          <w:tcPr>
            <w:tcW w:w="817" w:type="dxa"/>
            <w:vMerge w:val="restart"/>
          </w:tcPr>
          <w:p w14:paraId="67B7960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9032C6A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9CB95E1" w14:textId="77777777" w:rsidR="005E46E7" w:rsidRPr="002473C5" w:rsidRDefault="00A84802" w:rsidP="002473C5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7241BB7E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EC2BA0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F684023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D71807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E57E63A" w14:textId="77777777" w:rsidTr="00B01792">
        <w:tc>
          <w:tcPr>
            <w:tcW w:w="817" w:type="dxa"/>
            <w:vMerge/>
          </w:tcPr>
          <w:p w14:paraId="02C0621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7FE27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A1F244E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7C09C9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34498BD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9A44780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86582C2" w14:textId="77777777" w:rsidTr="00B01792">
        <w:tc>
          <w:tcPr>
            <w:tcW w:w="817" w:type="dxa"/>
            <w:vMerge/>
          </w:tcPr>
          <w:p w14:paraId="7D27F8B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7C6BE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D4543D5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54808F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78CAEC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2B18FB1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BDD32A7" w14:textId="77777777" w:rsidTr="00B01792">
        <w:tc>
          <w:tcPr>
            <w:tcW w:w="817" w:type="dxa"/>
            <w:vMerge/>
          </w:tcPr>
          <w:p w14:paraId="695651C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8BF82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BC37EE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ABA62A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B68700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Свободная мощность, куб. м/ч *</w:t>
            </w:r>
          </w:p>
        </w:tc>
        <w:tc>
          <w:tcPr>
            <w:tcW w:w="5526" w:type="dxa"/>
            <w:gridSpan w:val="2"/>
          </w:tcPr>
          <w:p w14:paraId="509F571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F62D804" w14:textId="77777777" w:rsidTr="00B01792">
        <w:tc>
          <w:tcPr>
            <w:tcW w:w="817" w:type="dxa"/>
            <w:vMerge/>
          </w:tcPr>
          <w:p w14:paraId="3FECD89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C3E850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5824BC4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2A1592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2E6C4F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A1E81B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6BAD59D" w14:textId="77777777" w:rsidTr="00B01792">
        <w:tc>
          <w:tcPr>
            <w:tcW w:w="817" w:type="dxa"/>
            <w:vMerge/>
          </w:tcPr>
          <w:p w14:paraId="6E05F46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7F1E2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8B4206C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14CA4E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45E16D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89E29E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E9E3449" w14:textId="77777777" w:rsidTr="00B01792">
        <w:tc>
          <w:tcPr>
            <w:tcW w:w="817" w:type="dxa"/>
            <w:vMerge/>
          </w:tcPr>
          <w:p w14:paraId="28A1DF8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509CCD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03F274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679154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4E31DCB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9EC705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7AE977E" w14:textId="77777777" w:rsidTr="00B01792">
        <w:tc>
          <w:tcPr>
            <w:tcW w:w="817" w:type="dxa"/>
            <w:vMerge/>
          </w:tcPr>
          <w:p w14:paraId="0648B25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EE2A3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4D74B5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2711E2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89E425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6A64CA37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17772E" w14:textId="77777777" w:rsidTr="00B01792">
        <w:tc>
          <w:tcPr>
            <w:tcW w:w="817" w:type="dxa"/>
            <w:vMerge/>
          </w:tcPr>
          <w:p w14:paraId="3FF68BC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5C097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5E3BD00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CD6674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844735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50ACAE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015CC0" w14:textId="77777777" w:rsidTr="00B01792">
        <w:tc>
          <w:tcPr>
            <w:tcW w:w="817" w:type="dxa"/>
            <w:vMerge w:val="restart"/>
          </w:tcPr>
          <w:p w14:paraId="2144097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A2ACC7A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6F34666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DE0AE5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F8D200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412F0B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15A917C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9569FF3" w14:textId="77777777" w:rsidTr="00B01792">
        <w:tc>
          <w:tcPr>
            <w:tcW w:w="817" w:type="dxa"/>
            <w:vMerge/>
          </w:tcPr>
          <w:p w14:paraId="364FDB1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95A53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EF822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61BA5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37364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2B2B5B3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7D94D0C" w14:textId="77777777" w:rsidTr="00B01792">
        <w:tc>
          <w:tcPr>
            <w:tcW w:w="817" w:type="dxa"/>
            <w:vMerge/>
          </w:tcPr>
          <w:p w14:paraId="4B4300B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480869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1B720B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6F2DF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942ADD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2E135CB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301159" w14:textId="77777777" w:rsidTr="00B01792">
        <w:tc>
          <w:tcPr>
            <w:tcW w:w="817" w:type="dxa"/>
            <w:vMerge/>
          </w:tcPr>
          <w:p w14:paraId="266D9A6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C9417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4E1B9E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622A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A8AF4B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7FDB113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911929C" w14:textId="77777777" w:rsidTr="00B01792">
        <w:tc>
          <w:tcPr>
            <w:tcW w:w="817" w:type="dxa"/>
            <w:vMerge/>
          </w:tcPr>
          <w:p w14:paraId="591636C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44174D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E2D6867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0B05A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4E456B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6DEB6A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BDC3AF6" w14:textId="77777777" w:rsidTr="00B01792">
        <w:tc>
          <w:tcPr>
            <w:tcW w:w="817" w:type="dxa"/>
            <w:vMerge/>
          </w:tcPr>
          <w:p w14:paraId="12324D3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C898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60A0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13C41AF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FB0897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295E76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62B0DA7" w14:textId="77777777" w:rsidTr="00B01792">
        <w:tc>
          <w:tcPr>
            <w:tcW w:w="817" w:type="dxa"/>
            <w:vMerge/>
          </w:tcPr>
          <w:p w14:paraId="1ACE943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19835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D137CA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056124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108331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529CD883" w14:textId="77777777" w:rsidR="005E46E7" w:rsidRPr="00256E19" w:rsidRDefault="00DD7604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247,24</w:t>
            </w:r>
          </w:p>
        </w:tc>
      </w:tr>
      <w:tr w:rsidR="005E46E7" w:rsidRPr="00D703E4" w14:paraId="71038283" w14:textId="77777777" w:rsidTr="00B01792">
        <w:tc>
          <w:tcPr>
            <w:tcW w:w="817" w:type="dxa"/>
            <w:vMerge/>
          </w:tcPr>
          <w:p w14:paraId="1CB7A7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C9CA9F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13193B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5FCC0A6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C77931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7252E40C" w14:textId="77777777" w:rsidR="005E46E7" w:rsidRPr="00256E19" w:rsidRDefault="002473C5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0,04</w:t>
            </w:r>
          </w:p>
        </w:tc>
      </w:tr>
      <w:tr w:rsidR="005E46E7" w:rsidRPr="00D703E4" w14:paraId="40CAAE46" w14:textId="77777777" w:rsidTr="00B01792">
        <w:tc>
          <w:tcPr>
            <w:tcW w:w="817" w:type="dxa"/>
            <w:vMerge/>
          </w:tcPr>
          <w:p w14:paraId="2EB2D9F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61CF9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965F0C2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6D20397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1E08BC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1E5F158E" w14:textId="77777777" w:rsidR="005E46E7" w:rsidRPr="00256E19" w:rsidRDefault="00D8054B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ЛЭП</w:t>
            </w:r>
            <w:r w:rsidR="00FA2E05">
              <w:rPr>
                <w:rFonts w:ascii="Times New Roman" w:hAnsi="Times New Roman" w:cs="Times New Roman"/>
                <w:iCs/>
              </w:rPr>
              <w:t xml:space="preserve"> на расстоянии 100-150</w:t>
            </w:r>
          </w:p>
        </w:tc>
      </w:tr>
      <w:tr w:rsidR="005E46E7" w:rsidRPr="00D703E4" w14:paraId="15008020" w14:textId="77777777" w:rsidTr="00B01792">
        <w:tc>
          <w:tcPr>
            <w:tcW w:w="817" w:type="dxa"/>
            <w:vMerge w:val="restart"/>
          </w:tcPr>
          <w:p w14:paraId="3A8C7B1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A59E12A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51FE59F" w14:textId="77777777" w:rsidR="00A84802" w:rsidRPr="002473C5" w:rsidRDefault="00A84802" w:rsidP="002473C5">
            <w:pPr>
              <w:ind w:left="1"/>
              <w:rPr>
                <w:rFonts w:ascii="Times New Roman" w:hAnsi="Times New Roman" w:cs="Times New Roman"/>
              </w:rPr>
            </w:pPr>
          </w:p>
          <w:p w14:paraId="53B8C4AD" w14:textId="77777777" w:rsidR="005E46E7" w:rsidRPr="004739DF" w:rsidRDefault="00A84802" w:rsidP="004739DF">
            <w:pPr>
              <w:pStyle w:val="af5"/>
              <w:numPr>
                <w:ilvl w:val="0"/>
                <w:numId w:val="24"/>
              </w:numPr>
            </w:pPr>
            <w:r w:rsidRPr="00A84802">
              <w:lastRenderedPageBreak/>
              <w:t>Нет</w:t>
            </w:r>
          </w:p>
          <w:p w14:paraId="725DF85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A0DE79F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27B7E8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76B1CA9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Теплоснабжение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руб./Гкал*ч *</w:t>
            </w:r>
          </w:p>
        </w:tc>
        <w:tc>
          <w:tcPr>
            <w:tcW w:w="5526" w:type="dxa"/>
            <w:gridSpan w:val="2"/>
          </w:tcPr>
          <w:p w14:paraId="1DB71DD7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5E1BECA" w14:textId="77777777" w:rsidTr="00B01792">
        <w:tc>
          <w:tcPr>
            <w:tcW w:w="817" w:type="dxa"/>
            <w:vMerge/>
          </w:tcPr>
          <w:p w14:paraId="4F3FF5E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C8CA0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8FB29BD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67CFE2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42F8E8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6F7C129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F5C50F" w14:textId="77777777" w:rsidTr="00B01792">
        <w:tc>
          <w:tcPr>
            <w:tcW w:w="817" w:type="dxa"/>
            <w:vMerge/>
          </w:tcPr>
          <w:p w14:paraId="40610B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5F57A6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564E9AE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B65772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E98DCD2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295C535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CA4B7F7" w14:textId="77777777" w:rsidTr="00B01792">
        <w:tc>
          <w:tcPr>
            <w:tcW w:w="817" w:type="dxa"/>
            <w:vMerge/>
          </w:tcPr>
          <w:p w14:paraId="5095C0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13E3A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2106411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DBAC1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B65552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09819E5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C65B756" w14:textId="77777777" w:rsidTr="00B01792">
        <w:tc>
          <w:tcPr>
            <w:tcW w:w="817" w:type="dxa"/>
            <w:vMerge/>
          </w:tcPr>
          <w:p w14:paraId="66324D5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CD7E1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06BD5E9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3FA080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A132A8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C53F834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3E92A7" w14:textId="77777777" w:rsidTr="00B01792">
        <w:tc>
          <w:tcPr>
            <w:tcW w:w="817" w:type="dxa"/>
            <w:vMerge/>
          </w:tcPr>
          <w:p w14:paraId="75372CE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C3029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44674BB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DF8ED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1C29AC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1B7AB9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324844F" w14:textId="77777777" w:rsidTr="00B01792">
        <w:tc>
          <w:tcPr>
            <w:tcW w:w="817" w:type="dxa"/>
            <w:vMerge/>
          </w:tcPr>
          <w:p w14:paraId="018CDF7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66C1E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529D905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1775DD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B57A1C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3BE60A4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325A0B0" w14:textId="77777777" w:rsidTr="00B01792">
        <w:tc>
          <w:tcPr>
            <w:tcW w:w="817" w:type="dxa"/>
            <w:vMerge/>
          </w:tcPr>
          <w:p w14:paraId="2AF48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0385B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C2E0C6E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9FCC5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66E805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83F657F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9BE7F4D" w14:textId="77777777" w:rsidTr="00B01792">
        <w:tc>
          <w:tcPr>
            <w:tcW w:w="817" w:type="dxa"/>
            <w:vMerge/>
          </w:tcPr>
          <w:p w14:paraId="45925AF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B8F6E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E4935F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F677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D5C211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26D64B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C5F531F" w14:textId="77777777" w:rsidTr="00FF7A9A">
        <w:tc>
          <w:tcPr>
            <w:tcW w:w="15275" w:type="dxa"/>
            <w:gridSpan w:val="7"/>
          </w:tcPr>
          <w:p w14:paraId="2C26823E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39099246" w14:textId="77777777" w:rsidTr="00B01792">
        <w:tc>
          <w:tcPr>
            <w:tcW w:w="817" w:type="dxa"/>
          </w:tcPr>
          <w:p w14:paraId="5004BADB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081414B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9B2BD00" w14:textId="77777777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4889EF3D" w14:textId="77777777" w:rsidTr="00B01792">
        <w:tc>
          <w:tcPr>
            <w:tcW w:w="817" w:type="dxa"/>
          </w:tcPr>
          <w:p w14:paraId="3F3D692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1F73829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4324B91" w14:textId="77777777" w:rsidR="005E46E7" w:rsidRPr="008A00FD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737B031" w14:textId="77777777" w:rsidTr="00B01792">
        <w:tc>
          <w:tcPr>
            <w:tcW w:w="817" w:type="dxa"/>
          </w:tcPr>
          <w:p w14:paraId="6EABD0D9" w14:textId="77777777" w:rsidR="005E46E7" w:rsidRPr="003B15D3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77FEEE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67BD218" w14:textId="77777777" w:rsidR="002A2792" w:rsidRPr="005A30FF" w:rsidRDefault="00D8054B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7D1BEC43" w14:textId="77777777" w:rsidTr="00FF7A9A">
        <w:tc>
          <w:tcPr>
            <w:tcW w:w="15275" w:type="dxa"/>
            <w:gridSpan w:val="7"/>
          </w:tcPr>
          <w:p w14:paraId="2E6F40F6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3604A018" w14:textId="77777777" w:rsidTr="00B01792">
        <w:tc>
          <w:tcPr>
            <w:tcW w:w="817" w:type="dxa"/>
          </w:tcPr>
          <w:p w14:paraId="3343D0CF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BAE627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C03BA07" w14:textId="77777777" w:rsidR="00246C96" w:rsidRPr="008A00FD" w:rsidRDefault="00246C96" w:rsidP="008A00F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2FF4367A" w14:textId="77777777" w:rsidTr="00B01792">
        <w:tc>
          <w:tcPr>
            <w:tcW w:w="817" w:type="dxa"/>
          </w:tcPr>
          <w:p w14:paraId="6A7E94C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51F85B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55A9ADE" w14:textId="77777777" w:rsidR="00246C96" w:rsidRPr="008A00FD" w:rsidRDefault="00246C96" w:rsidP="008A00F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267B383D" w14:textId="77777777" w:rsidTr="00B01792">
        <w:tc>
          <w:tcPr>
            <w:tcW w:w="817" w:type="dxa"/>
          </w:tcPr>
          <w:p w14:paraId="46DABBAA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5E3E5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A89E0A0" w14:textId="77777777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39021062" w14:textId="77777777" w:rsidTr="00B01792">
        <w:tc>
          <w:tcPr>
            <w:tcW w:w="817" w:type="dxa"/>
          </w:tcPr>
          <w:p w14:paraId="60293507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7E44894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7BC112FB" w14:textId="77777777" w:rsidR="005A30FF" w:rsidRPr="005A30FF" w:rsidRDefault="004908DB" w:rsidP="00160D6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ж/д – 8 км, автомобильное сообщение федерального значения – 30 км, </w:t>
            </w:r>
            <w:r w:rsidR="00160D6E">
              <w:rPr>
                <w:rFonts w:ascii="Times New Roman" w:hAnsi="Times New Roman" w:cs="Times New Roman"/>
                <w:iCs/>
              </w:rPr>
              <w:t>регионального значения – 0,1 км, местного значения – 0,2 км.</w:t>
            </w:r>
          </w:p>
        </w:tc>
      </w:tr>
      <w:tr w:rsidR="005A30FF" w:rsidRPr="00D703E4" w14:paraId="4305942C" w14:textId="77777777" w:rsidTr="00FF7A9A">
        <w:tc>
          <w:tcPr>
            <w:tcW w:w="15275" w:type="dxa"/>
            <w:gridSpan w:val="7"/>
          </w:tcPr>
          <w:p w14:paraId="1F3B5A58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39FB7601" w14:textId="77777777" w:rsidTr="00B01792">
        <w:tc>
          <w:tcPr>
            <w:tcW w:w="817" w:type="dxa"/>
          </w:tcPr>
          <w:p w14:paraId="48122A49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BED053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EEEE361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3D95E192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37147992" w14:textId="77777777" w:rsidTr="00B01792">
        <w:tc>
          <w:tcPr>
            <w:tcW w:w="817" w:type="dxa"/>
          </w:tcPr>
          <w:p w14:paraId="7EEAE7A4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724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5BD85EC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02C7AC2B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124A3CB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35AC891A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B155F88" w14:textId="77777777" w:rsidTr="00B01792">
        <w:tc>
          <w:tcPr>
            <w:tcW w:w="817" w:type="dxa"/>
          </w:tcPr>
          <w:p w14:paraId="2788A8B0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0BC28D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D770C09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1A11F0FD" w14:textId="77777777" w:rsidTr="00B01792">
        <w:tc>
          <w:tcPr>
            <w:tcW w:w="817" w:type="dxa"/>
          </w:tcPr>
          <w:p w14:paraId="6DFEA8F7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DA4ED49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B2FF68B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C95BF7" w:rsidRPr="00D703E4" w14:paraId="576FE12E" w14:textId="77777777" w:rsidTr="00B01792">
        <w:tc>
          <w:tcPr>
            <w:tcW w:w="817" w:type="dxa"/>
          </w:tcPr>
          <w:p w14:paraId="3D56E01E" w14:textId="77777777" w:rsidR="00C95BF7" w:rsidRPr="00FF7A9A" w:rsidRDefault="00C95BF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E0C04E" w14:textId="77777777" w:rsidR="00C95BF7" w:rsidRPr="00D703E4" w:rsidRDefault="00C95BF7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13E4F44" w14:textId="77777777" w:rsidR="00C95BF7" w:rsidRPr="00B35971" w:rsidRDefault="00C95BF7" w:rsidP="00405F0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7E73E939" w14:textId="77777777" w:rsidR="00C95BF7" w:rsidRPr="00B35971" w:rsidRDefault="00C95BF7" w:rsidP="00405F0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3FC723EC" w14:textId="77777777" w:rsidR="00C95BF7" w:rsidRPr="00B35971" w:rsidRDefault="00C95BF7" w:rsidP="00405F0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55B9E415" w14:textId="77777777" w:rsidR="00C95BF7" w:rsidRPr="00EC6A2C" w:rsidRDefault="00C95BF7" w:rsidP="00405F0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246C96" w:rsidRPr="00D703E4" w14:paraId="28AF3045" w14:textId="77777777" w:rsidTr="00B01792">
        <w:tc>
          <w:tcPr>
            <w:tcW w:w="817" w:type="dxa"/>
          </w:tcPr>
          <w:p w14:paraId="7A1E7C99" w14:textId="77777777" w:rsidR="00246C96" w:rsidRPr="00C95BF7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E9EE01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007720D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438D1F44" w14:textId="77777777" w:rsidTr="00B01792">
        <w:tc>
          <w:tcPr>
            <w:tcW w:w="817" w:type="dxa"/>
          </w:tcPr>
          <w:p w14:paraId="63DB8ED9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03F51E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7DF7B62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43DA2DF8" w14:textId="77777777" w:rsidTr="00B01792">
        <w:tc>
          <w:tcPr>
            <w:tcW w:w="817" w:type="dxa"/>
          </w:tcPr>
          <w:p w14:paraId="17F5442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7454F56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0159AD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69224F9F" w14:textId="77777777" w:rsidTr="00B01792">
        <w:tc>
          <w:tcPr>
            <w:tcW w:w="817" w:type="dxa"/>
          </w:tcPr>
          <w:p w14:paraId="24226121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F50741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34242168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155D61B5" w14:textId="77777777" w:rsidTr="00B01792">
        <w:tc>
          <w:tcPr>
            <w:tcW w:w="817" w:type="dxa"/>
          </w:tcPr>
          <w:p w14:paraId="6455737B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3C2507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765543C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482ED8BC" w14:textId="77777777" w:rsidTr="00B01792">
        <w:tc>
          <w:tcPr>
            <w:tcW w:w="817" w:type="dxa"/>
          </w:tcPr>
          <w:p w14:paraId="3A7A2369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AAD57FF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715BE35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7BEBA190" w14:textId="77777777" w:rsidTr="00FF7A9A">
        <w:trPr>
          <w:trHeight w:val="393"/>
        </w:trPr>
        <w:tc>
          <w:tcPr>
            <w:tcW w:w="15275" w:type="dxa"/>
            <w:gridSpan w:val="7"/>
          </w:tcPr>
          <w:p w14:paraId="483D8A33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A925746" w14:textId="77777777" w:rsidTr="00B01792">
        <w:trPr>
          <w:trHeight w:val="845"/>
        </w:trPr>
        <w:tc>
          <w:tcPr>
            <w:tcW w:w="817" w:type="dxa"/>
          </w:tcPr>
          <w:p w14:paraId="19A205C1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7C37B13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155906D" w14:textId="77777777" w:rsidR="00246C96" w:rsidRPr="003B15D3" w:rsidRDefault="003B15D3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54.2130841</w:t>
            </w:r>
          </w:p>
        </w:tc>
      </w:tr>
      <w:tr w:rsidR="00246C96" w:rsidRPr="00E115E9" w14:paraId="58717B5A" w14:textId="77777777" w:rsidTr="00B01792">
        <w:trPr>
          <w:trHeight w:val="843"/>
        </w:trPr>
        <w:tc>
          <w:tcPr>
            <w:tcW w:w="817" w:type="dxa"/>
          </w:tcPr>
          <w:p w14:paraId="0B2B02A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C12966B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0214C1B" w14:textId="77777777" w:rsidR="00246C96" w:rsidRDefault="003B15D3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39.9114489</w:t>
            </w:r>
          </w:p>
        </w:tc>
      </w:tr>
    </w:tbl>
    <w:p w14:paraId="149619D8" w14:textId="7777777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736741">
    <w:abstractNumId w:val="0"/>
  </w:num>
  <w:num w:numId="2" w16cid:durableId="2043090464">
    <w:abstractNumId w:val="7"/>
  </w:num>
  <w:num w:numId="3" w16cid:durableId="1360933818">
    <w:abstractNumId w:val="21"/>
  </w:num>
  <w:num w:numId="4" w16cid:durableId="70658164">
    <w:abstractNumId w:val="14"/>
  </w:num>
  <w:num w:numId="5" w16cid:durableId="540746164">
    <w:abstractNumId w:val="1"/>
  </w:num>
  <w:num w:numId="6" w16cid:durableId="645160809">
    <w:abstractNumId w:val="17"/>
  </w:num>
  <w:num w:numId="7" w16cid:durableId="848526051">
    <w:abstractNumId w:val="9"/>
  </w:num>
  <w:num w:numId="8" w16cid:durableId="577373490">
    <w:abstractNumId w:val="13"/>
  </w:num>
  <w:num w:numId="9" w16cid:durableId="2098014750">
    <w:abstractNumId w:val="5"/>
  </w:num>
  <w:num w:numId="10" w16cid:durableId="491608408">
    <w:abstractNumId w:val="24"/>
  </w:num>
  <w:num w:numId="11" w16cid:durableId="920524264">
    <w:abstractNumId w:val="8"/>
  </w:num>
  <w:num w:numId="12" w16cid:durableId="608201838">
    <w:abstractNumId w:val="23"/>
  </w:num>
  <w:num w:numId="13" w16cid:durableId="1717773281">
    <w:abstractNumId w:val="18"/>
  </w:num>
  <w:num w:numId="14" w16cid:durableId="1256480360">
    <w:abstractNumId w:val="10"/>
  </w:num>
  <w:num w:numId="15" w16cid:durableId="1914002083">
    <w:abstractNumId w:val="12"/>
  </w:num>
  <w:num w:numId="16" w16cid:durableId="1986541209">
    <w:abstractNumId w:val="3"/>
  </w:num>
  <w:num w:numId="17" w16cid:durableId="965819825">
    <w:abstractNumId w:val="2"/>
  </w:num>
  <w:num w:numId="18" w16cid:durableId="594215199">
    <w:abstractNumId w:val="19"/>
  </w:num>
  <w:num w:numId="19" w16cid:durableId="229733725">
    <w:abstractNumId w:val="16"/>
  </w:num>
  <w:num w:numId="20" w16cid:durableId="1529249387">
    <w:abstractNumId w:val="22"/>
  </w:num>
  <w:num w:numId="21" w16cid:durableId="1484157405">
    <w:abstractNumId w:val="6"/>
  </w:num>
  <w:num w:numId="22" w16cid:durableId="2022851389">
    <w:abstractNumId w:val="11"/>
  </w:num>
  <w:num w:numId="23" w16cid:durableId="1946646306">
    <w:abstractNumId w:val="4"/>
  </w:num>
  <w:num w:numId="24" w16cid:durableId="1602569172">
    <w:abstractNumId w:val="20"/>
  </w:num>
  <w:num w:numId="25" w16cid:durableId="2097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11B7"/>
    <w:rsid w:val="00106836"/>
    <w:rsid w:val="0012203D"/>
    <w:rsid w:val="001279A4"/>
    <w:rsid w:val="00130384"/>
    <w:rsid w:val="00134DB2"/>
    <w:rsid w:val="00160D6E"/>
    <w:rsid w:val="001635B8"/>
    <w:rsid w:val="00196C57"/>
    <w:rsid w:val="001B3F3E"/>
    <w:rsid w:val="001C0BB0"/>
    <w:rsid w:val="001C6993"/>
    <w:rsid w:val="00233341"/>
    <w:rsid w:val="00246C96"/>
    <w:rsid w:val="002473C5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54819"/>
    <w:rsid w:val="0036503A"/>
    <w:rsid w:val="003B15D3"/>
    <w:rsid w:val="003B773E"/>
    <w:rsid w:val="003B779D"/>
    <w:rsid w:val="003C5377"/>
    <w:rsid w:val="00410BBA"/>
    <w:rsid w:val="00456FB3"/>
    <w:rsid w:val="004739DF"/>
    <w:rsid w:val="004908DB"/>
    <w:rsid w:val="004A196B"/>
    <w:rsid w:val="004A22CF"/>
    <w:rsid w:val="004A4B64"/>
    <w:rsid w:val="004B2638"/>
    <w:rsid w:val="004B394E"/>
    <w:rsid w:val="004B5EAF"/>
    <w:rsid w:val="004D0172"/>
    <w:rsid w:val="00511A0E"/>
    <w:rsid w:val="0055026C"/>
    <w:rsid w:val="00552E9D"/>
    <w:rsid w:val="005561EA"/>
    <w:rsid w:val="00570FFB"/>
    <w:rsid w:val="005A30FF"/>
    <w:rsid w:val="005A6CF9"/>
    <w:rsid w:val="005C2D42"/>
    <w:rsid w:val="005E1E97"/>
    <w:rsid w:val="005E46E7"/>
    <w:rsid w:val="005F2E19"/>
    <w:rsid w:val="005F7F34"/>
    <w:rsid w:val="0060669B"/>
    <w:rsid w:val="00650B53"/>
    <w:rsid w:val="0067081D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A7649"/>
    <w:rsid w:val="007C56B3"/>
    <w:rsid w:val="007C619C"/>
    <w:rsid w:val="007D3C8E"/>
    <w:rsid w:val="007D724D"/>
    <w:rsid w:val="007E4796"/>
    <w:rsid w:val="0081202B"/>
    <w:rsid w:val="00842E49"/>
    <w:rsid w:val="0088122D"/>
    <w:rsid w:val="008A00FD"/>
    <w:rsid w:val="008A5FF7"/>
    <w:rsid w:val="008B7236"/>
    <w:rsid w:val="008C2477"/>
    <w:rsid w:val="008E0473"/>
    <w:rsid w:val="008E3B16"/>
    <w:rsid w:val="00901788"/>
    <w:rsid w:val="00906811"/>
    <w:rsid w:val="00921389"/>
    <w:rsid w:val="0094653F"/>
    <w:rsid w:val="00971010"/>
    <w:rsid w:val="009952B2"/>
    <w:rsid w:val="009A29D8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197B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00D4"/>
    <w:rsid w:val="00BE44BF"/>
    <w:rsid w:val="00C06908"/>
    <w:rsid w:val="00C35F33"/>
    <w:rsid w:val="00C840E7"/>
    <w:rsid w:val="00C9345C"/>
    <w:rsid w:val="00C95BF7"/>
    <w:rsid w:val="00CA14BD"/>
    <w:rsid w:val="00CB2242"/>
    <w:rsid w:val="00CB7472"/>
    <w:rsid w:val="00CD32B1"/>
    <w:rsid w:val="00D122F8"/>
    <w:rsid w:val="00D20A66"/>
    <w:rsid w:val="00D63FE3"/>
    <w:rsid w:val="00D703E4"/>
    <w:rsid w:val="00D775B4"/>
    <w:rsid w:val="00D777FC"/>
    <w:rsid w:val="00D8054B"/>
    <w:rsid w:val="00DA6925"/>
    <w:rsid w:val="00DB0F0E"/>
    <w:rsid w:val="00DB3507"/>
    <w:rsid w:val="00DC504C"/>
    <w:rsid w:val="00DD1455"/>
    <w:rsid w:val="00DD174C"/>
    <w:rsid w:val="00DD5F08"/>
    <w:rsid w:val="00DD7604"/>
    <w:rsid w:val="00E056DF"/>
    <w:rsid w:val="00E2548C"/>
    <w:rsid w:val="00E32AA5"/>
    <w:rsid w:val="00E35CE7"/>
    <w:rsid w:val="00E37F84"/>
    <w:rsid w:val="00E55DD6"/>
    <w:rsid w:val="00E8727D"/>
    <w:rsid w:val="00E937DD"/>
    <w:rsid w:val="00E95F7B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5F88"/>
    <w:rsid w:val="00F96663"/>
    <w:rsid w:val="00FA2E05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EF8C"/>
  <w15:docId w15:val="{4A7A756C-5FB0-4272-B313-FA8F8387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184BD-655D-4A65-B928-8DDE89FD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13</cp:revision>
  <cp:lastPrinted>2026-02-06T08:02:00Z</cp:lastPrinted>
  <dcterms:created xsi:type="dcterms:W3CDTF">2026-02-09T18:34:00Z</dcterms:created>
  <dcterms:modified xsi:type="dcterms:W3CDTF">2026-05-25T13:06:00Z</dcterms:modified>
</cp:coreProperties>
</file>