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4302B67" w:rsidR="005E46E7" w:rsidRPr="004B394E" w:rsidRDefault="00AB5D13" w:rsidP="009516E4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="009516E4">
              <w:rPr>
                <w:rFonts w:ascii="Times New Roman" w:hAnsi="Times New Roman" w:cs="Times New Roman"/>
              </w:rPr>
              <w:t>Усадьбы А.И. Кошелева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9516E4">
              <w:rPr>
                <w:rFonts w:ascii="Times New Roman" w:hAnsi="Times New Roman" w:cs="Times New Roman"/>
              </w:rPr>
              <w:t>897,9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 земельным участком </w:t>
            </w:r>
            <w:proofErr w:type="spellStart"/>
            <w:r>
              <w:rPr>
                <w:rFonts w:ascii="Times New Roman" w:hAnsi="Times New Roman" w:cs="Times New Roman"/>
              </w:rPr>
              <w:t>с.</w:t>
            </w:r>
            <w:r w:rsidR="009516E4">
              <w:rPr>
                <w:rFonts w:ascii="Times New Roman" w:hAnsi="Times New Roman" w:cs="Times New Roman"/>
              </w:rPr>
              <w:t>Песочня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9516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9516E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8AA025" w14:textId="77777777" w:rsidR="009516E4" w:rsidRPr="009516E4" w:rsidRDefault="009516E4" w:rsidP="009516E4">
            <w:pPr>
              <w:adjustRightInd w:val="0"/>
              <w:rPr>
                <w:rFonts w:ascii="Times New Roman" w:hAnsi="Times New Roman" w:cs="Times New Roman"/>
              </w:rPr>
            </w:pPr>
            <w:r w:rsidRPr="009516E4">
              <w:rPr>
                <w:rFonts w:ascii="Times New Roman" w:hAnsi="Times New Roman" w:cs="Times New Roman"/>
              </w:rPr>
              <w:t xml:space="preserve">Рязанская область, </w:t>
            </w:r>
            <w:proofErr w:type="spellStart"/>
            <w:r w:rsidRPr="009516E4">
              <w:rPr>
                <w:rFonts w:ascii="Times New Roman" w:hAnsi="Times New Roman" w:cs="Times New Roman"/>
              </w:rPr>
              <w:t>Путятинский</w:t>
            </w:r>
            <w:proofErr w:type="spellEnd"/>
            <w:r w:rsidRPr="009516E4">
              <w:rPr>
                <w:rFonts w:ascii="Times New Roman" w:hAnsi="Times New Roman" w:cs="Times New Roman"/>
              </w:rPr>
              <w:t xml:space="preserve"> муниципальный округ, Песочня с, Комсомольская </w:t>
            </w:r>
            <w:proofErr w:type="spellStart"/>
            <w:r w:rsidRPr="009516E4">
              <w:rPr>
                <w:rFonts w:ascii="Times New Roman" w:hAnsi="Times New Roman" w:cs="Times New Roman"/>
              </w:rPr>
              <w:t>ул</w:t>
            </w:r>
            <w:proofErr w:type="spellEnd"/>
            <w:r w:rsidRPr="009516E4">
              <w:rPr>
                <w:rFonts w:ascii="Times New Roman" w:hAnsi="Times New Roman" w:cs="Times New Roman"/>
              </w:rPr>
              <w:t>, под зданием с</w:t>
            </w:r>
          </w:p>
          <w:p w14:paraId="2E257F3B" w14:textId="392E7459" w:rsidR="00AB5D13" w:rsidRPr="009516E4" w:rsidRDefault="009516E4" w:rsidP="009516E4">
            <w:pPr>
              <w:rPr>
                <w:rFonts w:ascii="Times New Roman" w:hAnsi="Times New Roman" w:cs="Times New Roman"/>
                <w:i/>
              </w:rPr>
            </w:pPr>
            <w:r w:rsidRPr="009516E4">
              <w:rPr>
                <w:rFonts w:ascii="Times New Roman" w:hAnsi="Times New Roman" w:cs="Times New Roman"/>
              </w:rPr>
              <w:t>кадастровым номером 62:12:0010114:1006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D122F8" w:rsidRPr="00D703E4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33370055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3EB0ED0" w:rsidR="00D775B4" w:rsidRPr="009516E4" w:rsidRDefault="009516E4" w:rsidP="009516E4">
            <w:pPr>
              <w:rPr>
                <w:rFonts w:ascii="Times New Roman" w:hAnsi="Times New Roman" w:cs="Times New Roman"/>
              </w:rPr>
            </w:pPr>
            <w:r w:rsidRPr="009516E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61307503,1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57BC9E1" w:rsidR="00D775B4" w:rsidRPr="00D703E4" w:rsidRDefault="00AB5D1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1285171F" w:rsidR="00DB0F0E" w:rsidRPr="0014003E" w:rsidRDefault="00432275" w:rsidP="00901788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</w:rPr>
              <w:t>З</w:t>
            </w:r>
            <w:r w:rsidR="00DB0F0E" w:rsidRPr="0014003E">
              <w:rPr>
                <w:rFonts w:ascii="Times New Roman" w:hAnsi="Times New Roman" w:cs="Times New Roman"/>
                <w:iCs/>
              </w:rPr>
              <w:t>дание</w:t>
            </w:r>
            <w:r w:rsidRPr="0014003E">
              <w:rPr>
                <w:rFonts w:ascii="Times New Roman" w:hAnsi="Times New Roman" w:cs="Times New Roman"/>
                <w:iCs/>
              </w:rPr>
              <w:t>, нежилое,</w:t>
            </w:r>
            <w:r w:rsidR="00DB0F0E" w:rsidRPr="0014003E">
              <w:rPr>
                <w:rFonts w:ascii="Times New Roman" w:hAnsi="Times New Roman" w:cs="Times New Roman"/>
                <w:iCs/>
              </w:rPr>
              <w:t xml:space="preserve"> площадью </w:t>
            </w:r>
            <w:r w:rsidRPr="0014003E">
              <w:rPr>
                <w:rFonts w:ascii="Times New Roman" w:hAnsi="Times New Roman" w:cs="Times New Roman"/>
                <w:iCs/>
              </w:rPr>
              <w:t>1</w:t>
            </w:r>
            <w:r w:rsidR="009516E4" w:rsidRPr="0014003E">
              <w:rPr>
                <w:rFonts w:ascii="Times New Roman" w:hAnsi="Times New Roman" w:cs="Times New Roman"/>
                <w:iCs/>
              </w:rPr>
              <w:t>897,9</w:t>
            </w:r>
            <w:r w:rsidR="00DB0F0E" w:rsidRPr="0014003E">
              <w:rPr>
                <w:rFonts w:ascii="Times New Roman" w:hAnsi="Times New Roman" w:cs="Times New Roman"/>
                <w:iCs/>
              </w:rPr>
              <w:t xml:space="preserve"> кв. м</w:t>
            </w:r>
            <w:r w:rsidRPr="0014003E">
              <w:rPr>
                <w:rFonts w:ascii="Times New Roman" w:hAnsi="Times New Roman" w:cs="Times New Roman"/>
                <w:iCs/>
              </w:rPr>
              <w:t>., кадастровый номер здания 62:12:00</w:t>
            </w:r>
            <w:r w:rsidR="009516E4" w:rsidRPr="0014003E">
              <w:rPr>
                <w:rFonts w:ascii="Times New Roman" w:hAnsi="Times New Roman" w:cs="Times New Roman"/>
                <w:iCs/>
              </w:rPr>
              <w:t>1</w:t>
            </w:r>
            <w:r w:rsidRPr="0014003E">
              <w:rPr>
                <w:rFonts w:ascii="Times New Roman" w:hAnsi="Times New Roman" w:cs="Times New Roman"/>
                <w:iCs/>
              </w:rPr>
              <w:t>0</w:t>
            </w:r>
            <w:r w:rsidR="009516E4" w:rsidRPr="0014003E">
              <w:rPr>
                <w:rFonts w:ascii="Times New Roman" w:hAnsi="Times New Roman" w:cs="Times New Roman"/>
                <w:iCs/>
              </w:rPr>
              <w:t>114</w:t>
            </w:r>
            <w:r w:rsidRPr="0014003E">
              <w:rPr>
                <w:rFonts w:ascii="Times New Roman" w:hAnsi="Times New Roman" w:cs="Times New Roman"/>
                <w:iCs/>
              </w:rPr>
              <w:t>:</w:t>
            </w:r>
            <w:r w:rsidR="009516E4" w:rsidRPr="0014003E">
              <w:rPr>
                <w:rFonts w:ascii="Times New Roman" w:hAnsi="Times New Roman" w:cs="Times New Roman"/>
                <w:iCs/>
              </w:rPr>
              <w:t>1006</w:t>
            </w:r>
            <w:r w:rsidRPr="0014003E">
              <w:rPr>
                <w:rFonts w:ascii="Times New Roman" w:hAnsi="Times New Roman" w:cs="Times New Roman"/>
                <w:iCs/>
              </w:rPr>
              <w:t xml:space="preserve">. Расположено на земельном участке с кадастровым номером </w:t>
            </w:r>
            <w:r w:rsidR="0014003E" w:rsidRPr="0014003E">
              <w:rPr>
                <w:rFonts w:ascii="Times New Roman" w:hAnsi="Times New Roman" w:cs="Times New Roman"/>
                <w:iCs/>
                <w:color w:val="000000" w:themeColor="text1"/>
              </w:rPr>
              <w:t>62:12:0010114:2794</w:t>
            </w:r>
            <w:r w:rsidRPr="0014003E">
              <w:rPr>
                <w:rFonts w:ascii="Times New Roman" w:hAnsi="Times New Roman" w:cs="Times New Roman"/>
                <w:iCs/>
              </w:rPr>
              <w:t xml:space="preserve">, площадью </w:t>
            </w:r>
            <w:r w:rsidR="0014003E" w:rsidRPr="0014003E">
              <w:rPr>
                <w:rFonts w:ascii="Times New Roman" w:hAnsi="Times New Roman" w:cs="Times New Roman"/>
              </w:rPr>
              <w:t>2,6741</w:t>
            </w:r>
            <w:r w:rsidRPr="0014003E">
              <w:rPr>
                <w:rFonts w:ascii="Times New Roman" w:hAnsi="Times New Roman" w:cs="Times New Roman"/>
                <w:iCs/>
              </w:rPr>
              <w:t>га, с разрешенным использованием</w:t>
            </w:r>
            <w:r w:rsidR="00881204">
              <w:rPr>
                <w:rFonts w:ascii="Times New Roman" w:hAnsi="Times New Roman" w:cs="Times New Roman"/>
                <w:iCs/>
              </w:rPr>
              <w:t xml:space="preserve"> </w:t>
            </w:r>
            <w:r w:rsidRPr="0014003E">
              <w:rPr>
                <w:rFonts w:ascii="Times New Roman" w:hAnsi="Times New Roman" w:cs="Times New Roman"/>
                <w:iCs/>
              </w:rPr>
              <w:t>– объекты культурно-досуговой деятельности.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CDC3AE2" w:rsidR="00432275" w:rsidRPr="00432275" w:rsidRDefault="0014003E" w:rsidP="00D777FC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</w:rPr>
              <w:t>2,6741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027D25F" w:rsidR="00432275" w:rsidRPr="00432275" w:rsidRDefault="0014003E" w:rsidP="00D777FC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  <w:color w:val="000000" w:themeColor="text1"/>
              </w:rPr>
              <w:t>62:12:0010114:2794</w:t>
            </w: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C692006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57FE5694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Предпринимательство</w:t>
            </w:r>
          </w:p>
          <w:p w14:paraId="534C41C8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Гостиничное обслуживание</w:t>
            </w:r>
          </w:p>
          <w:p w14:paraId="2D28E473" w14:textId="76EB7F16" w:rsidR="00432275" w:rsidRPr="00432275" w:rsidRDefault="00432275" w:rsidP="00FF5CC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77777777" w:rsidR="00432275" w:rsidRPr="00432275" w:rsidRDefault="00432275" w:rsidP="00903907">
            <w:p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Да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7777777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085589A8" w:rsidR="00432275" w:rsidRPr="00432275" w:rsidRDefault="0014003E" w:rsidP="00FB3332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</w:rPr>
              <w:t>1897,9</w:t>
            </w: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5AC9B66" w:rsidR="00432275" w:rsidRPr="00432275" w:rsidRDefault="0014003E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</w:rPr>
              <w:t>62:12:0010114:1006</w:t>
            </w: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01D41EF5" w:rsidR="00432275" w:rsidRPr="00432275" w:rsidRDefault="0014003E">
            <w:pPr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здание-полуразрушенное</w:t>
            </w: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432275">
              <w:rPr>
                <w:rFonts w:ascii="Times New Roman" w:hAnsi="Times New Roman" w:cs="Times New Roman"/>
                <w:iCs/>
              </w:rPr>
              <w:t>Путятинский</w:t>
            </w:r>
            <w:proofErr w:type="spellEnd"/>
            <w:r w:rsidRPr="00432275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000190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000190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888B4B9" w:rsidR="0029142B" w:rsidRPr="00D01FAD" w:rsidRDefault="00C83D06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B9C8B0F" w14:textId="3A848831" w:rsidR="0029142B" w:rsidRPr="00D01FAD" w:rsidRDefault="0029142B" w:rsidP="00FB3332">
            <w:pPr>
              <w:pStyle w:val="af5"/>
              <w:ind w:left="72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6E2604F6" w:rsidR="0029142B" w:rsidRPr="00D01FAD" w:rsidRDefault="0029142B" w:rsidP="00F42FCF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F42FCF"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01FAD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0789C20C" w:rsidR="0029142B" w:rsidRPr="00256E19" w:rsidRDefault="0029142B" w:rsidP="00D01FAD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24BDDB62" w:rsidR="0029142B" w:rsidRPr="00A84802" w:rsidRDefault="00CB6322" w:rsidP="007164C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0C597F05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B8BCAE6" w:rsidR="0029142B" w:rsidRPr="00FB3332" w:rsidRDefault="007336D5" w:rsidP="007336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783D16E0" w:rsidR="0029142B" w:rsidRPr="00256E19" w:rsidRDefault="00D01FAD" w:rsidP="007164C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300 м до водопроводной сети с кадастровым номером 62:12:0010114:1436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336D5" w:rsidRPr="00D703E4" w14:paraId="29110DD4" w14:textId="3ECC3AFB" w:rsidTr="007336D5">
        <w:trPr>
          <w:trHeight w:val="534"/>
        </w:trPr>
        <w:tc>
          <w:tcPr>
            <w:tcW w:w="817" w:type="dxa"/>
            <w:vMerge w:val="restart"/>
          </w:tcPr>
          <w:p w14:paraId="69238CD3" w14:textId="35E15525" w:rsidR="007336D5" w:rsidRPr="00134DB2" w:rsidRDefault="007336D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7336D5" w:rsidRPr="00D703E4" w:rsidRDefault="007336D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D95EC0F" w14:textId="32346CA7" w:rsidR="007336D5" w:rsidRPr="00D01FAD" w:rsidRDefault="00C83D06" w:rsidP="00FD57EB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57A1C3C2" w:rsidR="007336D5" w:rsidRPr="00A84802" w:rsidRDefault="007336D5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3D5FEC9" w14:textId="77777777" w:rsidR="007336D5" w:rsidRPr="00D01FAD" w:rsidRDefault="007336D5" w:rsidP="00FD57EB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4B8DA3E9" w:rsidR="007336D5" w:rsidRPr="00D703E4" w:rsidRDefault="007336D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7336D5" w:rsidRPr="00256E19" w:rsidRDefault="007336D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7336D5" w:rsidRPr="00CE2CAD" w:rsidRDefault="007336D5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7336D5" w:rsidRPr="00CE2CAD" w:rsidRDefault="007336D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074AC783" w:rsidR="005E46E7" w:rsidRPr="00D01FAD" w:rsidRDefault="00881204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ШРП</w:t>
            </w:r>
          </w:p>
        </w:tc>
      </w:tr>
      <w:tr w:rsidR="00D01FAD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D01FAD" w:rsidRPr="00D01FAD" w:rsidRDefault="00D01F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D01FAD" w:rsidRPr="00D703E4" w:rsidRDefault="00D01F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3CACB33" w14:textId="57F5D9D8" w:rsidR="00D01FAD" w:rsidRPr="00D01FAD" w:rsidRDefault="00C83D06" w:rsidP="00FD57EB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3060EE08" w:rsidR="00D01FAD" w:rsidRPr="00A84802" w:rsidRDefault="00D01F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C06E525" w14:textId="77777777" w:rsidR="00D01FAD" w:rsidRPr="00D01FAD" w:rsidRDefault="00D01FAD" w:rsidP="00FD57EB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15E20C84" w:rsidR="00D01FAD" w:rsidRPr="00D703E4" w:rsidRDefault="00D01FA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D01FAD" w:rsidRPr="00256E19" w:rsidRDefault="00D01F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395994F3" w:rsidR="00D01FAD" w:rsidRPr="00CE2CAD" w:rsidRDefault="000C3D51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D01FAD" w:rsidRPr="00CE2CAD" w:rsidRDefault="00D01F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0263F443" w:rsidR="00CE2CAD" w:rsidRPr="00CE2CAD" w:rsidRDefault="000C3D51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2474664D" w:rsidR="005E46E7" w:rsidRPr="00256E19" w:rsidRDefault="00D01FAD" w:rsidP="00881204">
            <w:pPr>
              <w:rPr>
                <w:rFonts w:ascii="Times New Roman" w:hAnsi="Times New Roman" w:cs="Times New Roman"/>
                <w:iCs/>
              </w:rPr>
            </w:pPr>
            <w:r w:rsidRPr="00D01FAD">
              <w:rPr>
                <w:rFonts w:ascii="Times New Roman" w:hAnsi="Times New Roman" w:cs="Times New Roman"/>
                <w:iCs/>
              </w:rPr>
              <w:t>В непосредственной близости к земельному участк</w:t>
            </w:r>
            <w:r w:rsidR="00881204">
              <w:rPr>
                <w:rFonts w:ascii="Times New Roman" w:hAnsi="Times New Roman" w:cs="Times New Roman"/>
                <w:iCs/>
              </w:rPr>
              <w:t>у</w:t>
            </w:r>
            <w:r w:rsidRPr="00D01FAD">
              <w:rPr>
                <w:rFonts w:ascii="Times New Roman" w:hAnsi="Times New Roman" w:cs="Times New Roman"/>
                <w:iCs/>
              </w:rPr>
              <w:t xml:space="preserve"> расположена </w:t>
            </w:r>
            <w:r w:rsidR="0088120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воздушной линия</w:t>
            </w:r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электропередачи ВЛ-10 </w:t>
            </w:r>
            <w:proofErr w:type="spellStart"/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кВ</w:t>
            </w:r>
            <w:proofErr w:type="spellEnd"/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№ 1 от ПС Светлая 62:12:0010114:1413</w:t>
            </w:r>
            <w:r w:rsidR="00881204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и ТП 400кВа</w:t>
            </w:r>
          </w:p>
        </w:tc>
      </w:tr>
      <w:tr w:rsidR="00D01FAD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D01FAD" w:rsidRPr="00D01FAD" w:rsidRDefault="00D01F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D01FAD" w:rsidRPr="00D703E4" w:rsidRDefault="00D01F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58F544D" w14:textId="7E484448" w:rsidR="00D01FAD" w:rsidRPr="00000190" w:rsidRDefault="00000190" w:rsidP="00FD57EB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bookmarkStart w:id="0" w:name="_GoBack"/>
            <w:r w:rsidRPr="00000190">
              <w:rPr>
                <w:rFonts w:ascii="Times New Roman" w:hAnsi="Times New Roman" w:cs="Times New Roman"/>
                <w:i/>
              </w:rPr>
              <w:t>Нет</w:t>
            </w:r>
          </w:p>
          <w:bookmarkEnd w:id="0"/>
          <w:p w14:paraId="2C05CE8C" w14:textId="77777777" w:rsidR="00D01FAD" w:rsidRPr="00D703E4" w:rsidRDefault="00D01F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A611E16" w14:textId="77777777" w:rsidR="00D01FAD" w:rsidRPr="00D01FAD" w:rsidRDefault="00D01FAD" w:rsidP="00FD57EB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D77C722" w14:textId="36A1DB26" w:rsidR="00D01FAD" w:rsidRPr="00D703E4" w:rsidRDefault="00D01FAD" w:rsidP="00D01FA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6FF297" w14:textId="4C78EB02" w:rsidR="00D01FAD" w:rsidRPr="00256E19" w:rsidRDefault="00D01F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8761CE" w:rsidR="00D01FAD" w:rsidRPr="00CE2CAD" w:rsidRDefault="00D01FAD" w:rsidP="007C619C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3546,66</w:t>
            </w:r>
          </w:p>
        </w:tc>
      </w:tr>
      <w:tr w:rsidR="00CE2CAD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E2CAD" w:rsidRPr="00256E19" w:rsidRDefault="00CE2CAD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1C3FB122" w14:textId="77777777" w:rsidR="00CE2CAD" w:rsidRDefault="007164C3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85,985</w:t>
            </w:r>
          </w:p>
          <w:p w14:paraId="45291BEB" w14:textId="246D9D7E" w:rsidR="007164C3" w:rsidRPr="00CE2CAD" w:rsidRDefault="007164C3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45ACC32" w14:textId="77777777" w:rsidR="008833C6" w:rsidRDefault="008833C6" w:rsidP="00883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индивидуальное отопление</w:t>
            </w:r>
          </w:p>
          <w:p w14:paraId="4389EE8E" w14:textId="20856108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000190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9516E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E27BD31" w:rsidR="00246C96" w:rsidRPr="00142952" w:rsidRDefault="00142952" w:rsidP="00134DB2">
            <w:pPr>
              <w:rPr>
                <w:rFonts w:ascii="Times New Roman" w:hAnsi="Times New Roman" w:cs="Times New Roman"/>
                <w:i/>
              </w:rPr>
            </w:pPr>
            <w:r w:rsidRPr="00142952">
              <w:rPr>
                <w:rFonts w:ascii="Times New Roman" w:hAnsi="Times New Roman" w:cs="Times New Roman"/>
                <w:color w:val="252625"/>
                <w:sz w:val="21"/>
                <w:szCs w:val="21"/>
                <w:shd w:val="clear" w:color="auto" w:fill="FFFFFF"/>
              </w:rPr>
              <w:t>54.113861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BE43D54" w:rsidR="00246C96" w:rsidRDefault="00142952" w:rsidP="00134DB2">
            <w:pPr>
              <w:rPr>
                <w:rFonts w:ascii="Times New Roman" w:hAnsi="Times New Roman" w:cs="Times New Roman"/>
              </w:rPr>
            </w:pPr>
            <w:r w:rsidRPr="00142952">
              <w:rPr>
                <w:rFonts w:ascii="Times New Roman" w:hAnsi="Times New Roman" w:cs="Times New Roman"/>
              </w:rPr>
              <w:t>40.817338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lastRenderedPageBreak/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00190"/>
    <w:rsid w:val="00025205"/>
    <w:rsid w:val="000350C9"/>
    <w:rsid w:val="00051BFD"/>
    <w:rsid w:val="00096855"/>
    <w:rsid w:val="000C3D51"/>
    <w:rsid w:val="000C5F64"/>
    <w:rsid w:val="000D539A"/>
    <w:rsid w:val="00106836"/>
    <w:rsid w:val="0012203D"/>
    <w:rsid w:val="001279A4"/>
    <w:rsid w:val="00130384"/>
    <w:rsid w:val="00134DB2"/>
    <w:rsid w:val="0014003E"/>
    <w:rsid w:val="0014295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011AA"/>
    <w:rsid w:val="00432275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164C3"/>
    <w:rsid w:val="007336D5"/>
    <w:rsid w:val="007A3E31"/>
    <w:rsid w:val="007C619C"/>
    <w:rsid w:val="007D724D"/>
    <w:rsid w:val="007E4796"/>
    <w:rsid w:val="0081202B"/>
    <w:rsid w:val="00842E49"/>
    <w:rsid w:val="00881204"/>
    <w:rsid w:val="0088122D"/>
    <w:rsid w:val="008833C6"/>
    <w:rsid w:val="008B7236"/>
    <w:rsid w:val="008C2477"/>
    <w:rsid w:val="008E0473"/>
    <w:rsid w:val="00901788"/>
    <w:rsid w:val="00906811"/>
    <w:rsid w:val="00921389"/>
    <w:rsid w:val="0094653F"/>
    <w:rsid w:val="009516E4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38F7"/>
    <w:rsid w:val="00C35F33"/>
    <w:rsid w:val="00C83D06"/>
    <w:rsid w:val="00C840E7"/>
    <w:rsid w:val="00C9345C"/>
    <w:rsid w:val="00CA14BD"/>
    <w:rsid w:val="00CB2242"/>
    <w:rsid w:val="00CB6322"/>
    <w:rsid w:val="00CE2CAD"/>
    <w:rsid w:val="00D01FAD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6A2C"/>
    <w:rsid w:val="00F33E50"/>
    <w:rsid w:val="00F42FCF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1C6E1BEE-B391-4B8F-B41E-F28903AA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4AAE-A5D9-4676-99C6-027D5389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15</cp:revision>
  <cp:lastPrinted>2025-05-20T07:44:00Z</cp:lastPrinted>
  <dcterms:created xsi:type="dcterms:W3CDTF">2026-02-09T12:30:00Z</dcterms:created>
  <dcterms:modified xsi:type="dcterms:W3CDTF">2026-02-11T10:12:00Z</dcterms:modified>
</cp:coreProperties>
</file>