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E1" w:rsidRDefault="00C130E1" w:rsidP="00C130E1">
      <w:pPr>
        <w:pStyle w:val="ConsPlusNormal"/>
        <w:jc w:val="right"/>
        <w:outlineLvl w:val="0"/>
      </w:pPr>
      <w:r>
        <w:t>Приложение</w:t>
      </w:r>
    </w:p>
    <w:p w:rsidR="00C130E1" w:rsidRDefault="00C130E1" w:rsidP="00C130E1">
      <w:pPr>
        <w:pStyle w:val="ConsPlusNormal"/>
        <w:jc w:val="right"/>
      </w:pPr>
      <w:r>
        <w:t>к Постановлению</w:t>
      </w:r>
    </w:p>
    <w:p w:rsidR="00C130E1" w:rsidRDefault="00C130E1" w:rsidP="00C130E1">
      <w:pPr>
        <w:pStyle w:val="ConsPlusNormal"/>
        <w:jc w:val="right"/>
      </w:pPr>
      <w:r>
        <w:t>Правительства Рязанской области</w:t>
      </w:r>
    </w:p>
    <w:p w:rsidR="00C130E1" w:rsidRDefault="00C130E1" w:rsidP="00C130E1">
      <w:pPr>
        <w:pStyle w:val="ConsPlusNormal"/>
        <w:jc w:val="right"/>
      </w:pPr>
      <w:r>
        <w:t>от 21 февраля 2024 г. N 45</w:t>
      </w:r>
    </w:p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right"/>
      </w:pPr>
      <w:r>
        <w:t>"Приложение N 3</w:t>
      </w:r>
    </w:p>
    <w:p w:rsidR="00C130E1" w:rsidRDefault="00C130E1" w:rsidP="00C130E1">
      <w:pPr>
        <w:pStyle w:val="ConsPlusNormal"/>
        <w:jc w:val="right"/>
      </w:pPr>
      <w:r>
        <w:t>к Порядку</w:t>
      </w:r>
    </w:p>
    <w:p w:rsidR="00C130E1" w:rsidRDefault="00C130E1" w:rsidP="00C130E1">
      <w:pPr>
        <w:pStyle w:val="ConsPlusNormal"/>
        <w:jc w:val="right"/>
      </w:pPr>
      <w:r>
        <w:t xml:space="preserve">представления информации </w:t>
      </w:r>
      <w:proofErr w:type="gramStart"/>
      <w:r>
        <w:t>об</w:t>
      </w:r>
      <w:proofErr w:type="gramEnd"/>
    </w:p>
    <w:p w:rsidR="00C130E1" w:rsidRDefault="00C130E1" w:rsidP="00C130E1">
      <w:pPr>
        <w:pStyle w:val="ConsPlusNormal"/>
        <w:jc w:val="right"/>
      </w:pPr>
      <w:r>
        <w:t xml:space="preserve">инвестиционной деятельности </w:t>
      </w:r>
      <w:proofErr w:type="gramStart"/>
      <w:r>
        <w:t>на</w:t>
      </w:r>
      <w:proofErr w:type="gramEnd"/>
    </w:p>
    <w:p w:rsidR="00C130E1" w:rsidRDefault="00C130E1" w:rsidP="00C130E1">
      <w:pPr>
        <w:pStyle w:val="ConsPlusNormal"/>
        <w:jc w:val="right"/>
      </w:pPr>
      <w:r>
        <w:t>территории Рязанской области</w:t>
      </w: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  <w:jc w:val="center"/>
      </w:pPr>
    </w:p>
    <w:p w:rsidR="00C130E1" w:rsidRDefault="00C130E1" w:rsidP="00C130E1">
      <w:pPr>
        <w:pStyle w:val="ConsPlusNormal"/>
      </w:pPr>
    </w:p>
    <w:p w:rsidR="00C130E1" w:rsidRDefault="00C130E1" w:rsidP="00C130E1">
      <w:pPr>
        <w:pStyle w:val="ConsPlusNormal"/>
        <w:jc w:val="center"/>
      </w:pPr>
      <w:r>
        <w:t>Паспорт инвестиционной площадки</w:t>
      </w:r>
    </w:p>
    <w:p w:rsidR="00C130E1" w:rsidRDefault="00C130E1" w:rsidP="00C130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70"/>
        <w:gridCol w:w="3724"/>
      </w:tblGrid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NN</w:t>
            </w:r>
          </w:p>
          <w:p w:rsidR="00C130E1" w:rsidRDefault="00C130E1" w:rsidP="00444C6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Характеристика, ед. изм.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Показатель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 объекта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Земельный участок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Статус инвестиционной площадки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Свободная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Адрес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Рязанская область, Рыбновский район,               д. Зеленинские Дворики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Площадь земельного участка, </w:t>
            </w:r>
            <w:proofErr w:type="gramStart"/>
            <w:r>
              <w:t>га</w:t>
            </w:r>
            <w:proofErr w:type="gramEnd"/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49,09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 земельного участка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62:13:1160301:685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 земельного участка, тыс. руб.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137 388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Частная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Условия пользования площадкой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Продажа, аренда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земли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Земли населенных пунктов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Категория "ТОП" (приоритетная для освоения в муниципальном образовании)</w:t>
            </w:r>
          </w:p>
        </w:tc>
        <w:tc>
          <w:tcPr>
            <w:tcW w:w="3724" w:type="dxa"/>
          </w:tcPr>
          <w:p w:rsidR="00C130E1" w:rsidRDefault="003720F0" w:rsidP="00444C69">
            <w:pPr>
              <w:pStyle w:val="ConsPlusNormal"/>
            </w:pPr>
            <w:r w:rsidRPr="00CC4AE6">
              <w:t>«ТОП»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Территориальная зона</w:t>
            </w:r>
          </w:p>
        </w:tc>
        <w:tc>
          <w:tcPr>
            <w:tcW w:w="3724" w:type="dxa"/>
          </w:tcPr>
          <w:p w:rsidR="00C130E1" w:rsidRDefault="00CC4AE6" w:rsidP="00444C69">
            <w:pPr>
              <w:pStyle w:val="ConsPlusNormal"/>
            </w:pPr>
            <w:r>
              <w:t>Производственная зона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Виды разрешенного использования</w:t>
            </w:r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Жилищное строительство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Ограничения в использовании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</w:t>
            </w:r>
            <w:proofErr w:type="gramEnd"/>
            <w:r>
              <w:t>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Москвы,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E20073" w:rsidP="00444C69">
            <w:pPr>
              <w:pStyle w:val="ConsPlusNormal"/>
            </w:pPr>
            <w:r>
              <w:t>162/156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г. Рязани,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450D32" w:rsidP="00444C69">
            <w:pPr>
              <w:pStyle w:val="ConsPlusNormal"/>
            </w:pPr>
            <w:r w:rsidRPr="00450D32">
              <w:t>2,7/8,2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- центру/до границы населенного пункта,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>
              <w:t>0,6/0,3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Автомобильное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автодороге: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На юго-западе участка проходит автодорога Москва-Самара (М5).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 xml:space="preserve">По южной границе участка проходит асфальтированная автодорога в                      г. </w:t>
            </w:r>
            <w:proofErr w:type="gramStart"/>
            <w:r w:rsidRPr="00AA62E1">
              <w:t>Рыбное</w:t>
            </w:r>
            <w:proofErr w:type="gramEnd"/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Железнодорожное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близость </w:t>
            </w:r>
            <w:proofErr w:type="gramStart"/>
            <w:r>
              <w:t>к ж</w:t>
            </w:r>
            <w:proofErr w:type="gramEnd"/>
            <w:r>
              <w:t>/д путям: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федерального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регионального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На северо-западе участок граничит с полосой отчуждения железной дороги направление  Рыбное-Узуново.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ж/д станции,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 xml:space="preserve">2,4 км.  Ближайшая </w:t>
            </w:r>
            <w:proofErr w:type="spellStart"/>
            <w:r w:rsidRPr="00AA62E1">
              <w:t>ж.д</w:t>
            </w:r>
            <w:proofErr w:type="spellEnd"/>
            <w:r w:rsidRPr="00AA62E1">
              <w:t>. станция «Рыбное»- крупная узловая железнодорожная станция Рязанского направления  Московской железной дороги. По основному характеру работы является сортировочной, по объему работы – внеклассной.</w:t>
            </w: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Водное 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речному 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причалу,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паромной переправе,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Авиасообщение (по территории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близость к объектам: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аэропорту,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E20073" w:rsidP="00444C69">
            <w:pPr>
              <w:pStyle w:val="ConsPlusNormal"/>
            </w:pPr>
            <w:r>
              <w:t>125, аэропорт «Домодедово»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аэродрому, </w:t>
            </w:r>
            <w:proofErr w:type="gramStart"/>
            <w:r>
              <w:t>км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>
              <w:t>7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AA62E1" w:rsidRDefault="00AA62E1" w:rsidP="00AA62E1">
            <w:pPr>
              <w:pStyle w:val="ConsPlusNormal"/>
            </w:pPr>
            <w:r>
              <w:t xml:space="preserve">30000  </w:t>
            </w:r>
          </w:p>
          <w:p w:rsidR="00C130E1" w:rsidRDefault="00AA62E1" w:rsidP="00AA62E1">
            <w:pPr>
              <w:pStyle w:val="ConsPlusNormal"/>
            </w:pPr>
            <w:r>
              <w:t xml:space="preserve"> Газоснабжение возможно осуществить от действующего газопровода высокого давления 1-й категории, принадлежащего ОАО «</w:t>
            </w:r>
            <w:proofErr w:type="spellStart"/>
            <w:r>
              <w:t>Рязаньоблгаз</w:t>
            </w:r>
            <w:proofErr w:type="spellEnd"/>
            <w:r>
              <w:t xml:space="preserve">» расположенного </w:t>
            </w:r>
            <w:r>
              <w:lastRenderedPageBreak/>
              <w:t>вдоль автодороги М5 на стороне участка. Техническая возможность газоснабжения в необходимых объемах имеется в любой точке присоединения. Газоснабжение участка обеспечивается от газопровода, который проходит непосредственно вдоль участка.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Водоснабжение в объеме 200 м3/день и 30 м3/час,150000 м3/год питьевой воды, а также водоотведение можно обеспечить за счет строительства водозаборного узла и локальных очистных сооружений.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Необходимо строительство очистных сооружений, канализационных сетей, КНС и отводящего коллектора</w:t>
            </w: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Нет. Строительство автономной газовой котельной.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Точки доступа к информационно-телекоммуникационной сети "Интернет"</w:t>
            </w:r>
          </w:p>
        </w:tc>
        <w:tc>
          <w:tcPr>
            <w:tcW w:w="3724" w:type="dxa"/>
          </w:tcPr>
          <w:p w:rsidR="00C130E1" w:rsidRDefault="00136A38" w:rsidP="00444C69">
            <w:pPr>
              <w:pStyle w:val="ConsPlusNormal"/>
            </w:pPr>
            <w:r>
              <w:t>Провайдер «</w:t>
            </w:r>
            <w:proofErr w:type="spellStart"/>
            <w:r>
              <w:t>Инфорт</w:t>
            </w:r>
            <w:proofErr w:type="spellEnd"/>
            <w:r>
              <w:t>». Проводной интернет (точка подключения 0,5 км.). Есть возможность подключения к беспроводному интернету, провайдеры Билайн, МТС. Оборудование установлено на участке.</w:t>
            </w:r>
            <w:bookmarkStart w:id="0" w:name="_GoBack"/>
            <w:bookmarkEnd w:id="0"/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Участок входит в территорию промышленного парка «Рыбное-2». Территория промышленного парка предназначена для размещения на нем новых производств.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Контактное лицо для справок</w:t>
            </w:r>
          </w:p>
        </w:tc>
        <w:tc>
          <w:tcPr>
            <w:tcW w:w="3724" w:type="dxa"/>
          </w:tcPr>
          <w:p w:rsidR="00AA62E1" w:rsidRDefault="00AA62E1" w:rsidP="00AA62E1">
            <w:pPr>
              <w:pStyle w:val="ConsPlusNormal"/>
            </w:pPr>
            <w:r>
              <w:t>Колганов Александр Иванович</w:t>
            </w:r>
          </w:p>
          <w:p w:rsidR="00C130E1" w:rsidRDefault="00AA62E1" w:rsidP="00AA62E1">
            <w:pPr>
              <w:pStyle w:val="ConsPlusNormal"/>
            </w:pPr>
            <w:r>
              <w:t>8(910)641-47-75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Инвестиционный уполномоченный </w:t>
            </w:r>
            <w:proofErr w:type="gramStart"/>
            <w:r>
              <w:t>муниципального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3724" w:type="dxa"/>
          </w:tcPr>
          <w:p w:rsidR="00AA62E1" w:rsidRDefault="00AA62E1" w:rsidP="00AA62E1">
            <w:pPr>
              <w:pStyle w:val="ConsPlusNormal"/>
            </w:pPr>
            <w:r>
              <w:t>Копылова Екатерина Михайловна 8(49137) 5-31-03</w:t>
            </w:r>
          </w:p>
          <w:p w:rsidR="00C130E1" w:rsidRDefault="00AA62E1" w:rsidP="00AA62E1">
            <w:pPr>
              <w:pStyle w:val="ConsPlusNormal"/>
            </w:pPr>
            <w:r>
              <w:t>8-967-004-56-70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Дата актуализации паспорта</w:t>
            </w:r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>
              <w:t>27.03.2024 г.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Свод инвестиционных правил (оптимальные алгоритмы действий инвестора)</w:t>
            </w:r>
          </w:p>
        </w:tc>
        <w:tc>
          <w:tcPr>
            <w:tcW w:w="3724" w:type="dxa"/>
          </w:tcPr>
          <w:p w:rsidR="00C130E1" w:rsidRDefault="00136A38" w:rsidP="00444C69">
            <w:pPr>
              <w:pStyle w:val="ConsPlusNormal"/>
            </w:pPr>
            <w:hyperlink r:id="rId5" w:history="1">
              <w:r w:rsidR="00AA62E1" w:rsidRPr="009B3A57">
                <w:rPr>
                  <w:rStyle w:val="a5"/>
                </w:rPr>
                <w:t>https://investryazan.ru/ru/page/investiczionnaya-deklaracziya</w:t>
              </w:r>
            </w:hyperlink>
            <w:r w:rsidR="00AA62E1">
              <w:t xml:space="preserve"> 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Допустимый класс опасности для размещения объектов</w:t>
            </w:r>
          </w:p>
        </w:tc>
        <w:tc>
          <w:tcPr>
            <w:tcW w:w="3724" w:type="dxa"/>
          </w:tcPr>
          <w:p w:rsidR="00C130E1" w:rsidRDefault="00AA62E1" w:rsidP="00444C69">
            <w:pPr>
              <w:pStyle w:val="ConsPlusNormal"/>
            </w:pPr>
            <w:r w:rsidRPr="00AA62E1">
              <w:t>III класс (300м.)</w:t>
            </w: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Кадастровый номер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Кадастровая стоимость, тыс. руб.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Площадь помещений, м</w:t>
            </w:r>
            <w:proofErr w:type="gramStart"/>
            <w:r>
              <w:t>2</w:t>
            </w:r>
            <w:proofErr w:type="gramEnd"/>
            <w:r>
              <w:t>,</w:t>
            </w:r>
          </w:p>
          <w:p w:rsidR="00C130E1" w:rsidRDefault="00C130E1" w:rsidP="00444C69">
            <w:pPr>
              <w:pStyle w:val="ConsPlusNormal"/>
            </w:pPr>
            <w:r>
              <w:t>в том числе: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lastRenderedPageBreak/>
              <w:t>27.4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- производственных,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офисных, м</w:t>
            </w:r>
            <w:proofErr w:type="gramStart"/>
            <w:r>
              <w:t>2</w:t>
            </w:r>
            <w:proofErr w:type="gramEnd"/>
            <w:r>
              <w:t>;</w:t>
            </w:r>
          </w:p>
          <w:p w:rsidR="00C130E1" w:rsidRDefault="00C130E1" w:rsidP="00444C69">
            <w:pPr>
              <w:pStyle w:val="ConsPlusNormal"/>
            </w:pPr>
            <w:r>
              <w:t>- складских, 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27.5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Высота потолков,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27.6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Шаг колонн,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27.7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Нагрузка на пол, тонн/м</w:t>
            </w:r>
            <w:proofErr w:type="gramStart"/>
            <w:r>
              <w:t>2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27.8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Протяженность объекта капитального строительства, </w:t>
            </w:r>
            <w:proofErr w:type="gramStart"/>
            <w:r>
              <w:t>м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27.9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Форма собственности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27.10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Назначение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27.11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 xml:space="preserve">Количество этажей, включая </w:t>
            </w:r>
            <w:proofErr w:type="gramStart"/>
            <w:r>
              <w:t>подземные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27.12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Год постройки/ввода в эксплуатацию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</w:tcPr>
          <w:p w:rsidR="00C130E1" w:rsidRDefault="00C130E1" w:rsidP="00444C69">
            <w:pPr>
              <w:pStyle w:val="ConsPlusNormal"/>
              <w:jc w:val="center"/>
            </w:pPr>
            <w:r>
              <w:t>27.13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Степень готовности (в отношении незавершенного строительства), %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 w:val="restart"/>
          </w:tcPr>
          <w:p w:rsidR="00C130E1" w:rsidRDefault="00C130E1" w:rsidP="00444C69">
            <w:pPr>
              <w:pStyle w:val="ConsPlusNormal"/>
              <w:jc w:val="center"/>
            </w:pPr>
            <w:r>
              <w:t>27.14</w:t>
            </w: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Обеспеченность инженерной и энергетической инфраструктурой: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Электроснабжение, МВт/</w:t>
            </w:r>
            <w:proofErr w:type="gramStart"/>
            <w:r>
              <w:t>ч</w:t>
            </w:r>
            <w:proofErr w:type="gramEnd"/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Газоснабжение,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Водоснабжение,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Водоотведение, м3/ч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  <w:tr w:rsidR="00C130E1" w:rsidTr="00C130E1">
        <w:tc>
          <w:tcPr>
            <w:tcW w:w="737" w:type="dxa"/>
            <w:vMerge/>
          </w:tcPr>
          <w:p w:rsidR="00C130E1" w:rsidRDefault="00C130E1" w:rsidP="00444C69">
            <w:pPr>
              <w:pStyle w:val="ConsPlusNormal"/>
            </w:pPr>
          </w:p>
        </w:tc>
        <w:tc>
          <w:tcPr>
            <w:tcW w:w="4570" w:type="dxa"/>
          </w:tcPr>
          <w:p w:rsidR="00C130E1" w:rsidRDefault="00C130E1" w:rsidP="00444C69">
            <w:pPr>
              <w:pStyle w:val="ConsPlusNormal"/>
            </w:pPr>
            <w:r>
              <w:t>Теплоснабжение, Гкал/</w:t>
            </w:r>
            <w:proofErr w:type="gramStart"/>
            <w:r>
              <w:t>ч</w:t>
            </w:r>
            <w:proofErr w:type="gramEnd"/>
            <w:r>
              <w:t>"</w:t>
            </w:r>
          </w:p>
        </w:tc>
        <w:tc>
          <w:tcPr>
            <w:tcW w:w="3724" w:type="dxa"/>
          </w:tcPr>
          <w:p w:rsidR="00C130E1" w:rsidRDefault="00C130E1" w:rsidP="00444C69">
            <w:pPr>
              <w:pStyle w:val="ConsPlusNormal"/>
            </w:pPr>
          </w:p>
        </w:tc>
      </w:tr>
    </w:tbl>
    <w:p w:rsidR="00C130E1" w:rsidRDefault="00C130E1" w:rsidP="00C130E1">
      <w:pPr>
        <w:pStyle w:val="ConsPlusNormal"/>
        <w:jc w:val="both"/>
      </w:pPr>
    </w:p>
    <w:p w:rsidR="00C130E1" w:rsidRDefault="00C130E1" w:rsidP="00C130E1">
      <w:pPr>
        <w:pStyle w:val="ConsPlusNormal"/>
        <w:jc w:val="both"/>
      </w:pPr>
    </w:p>
    <w:p w:rsidR="00007FB4" w:rsidRDefault="00136A38"/>
    <w:sectPr w:rsidR="0000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E1"/>
    <w:rsid w:val="00136A38"/>
    <w:rsid w:val="003720F0"/>
    <w:rsid w:val="00450D32"/>
    <w:rsid w:val="00814DCC"/>
    <w:rsid w:val="00AA62E1"/>
    <w:rsid w:val="00BB3118"/>
    <w:rsid w:val="00C130E1"/>
    <w:rsid w:val="00CC4AE6"/>
    <w:rsid w:val="00E2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62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E1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30E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0E1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AA6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yazan.ru/ru/page/investiczionnaya-deklaracz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 отдел</dc:creator>
  <cp:lastModifiedBy>эконом отдел</cp:lastModifiedBy>
  <cp:revision>4</cp:revision>
  <cp:lastPrinted>2024-03-28T07:57:00Z</cp:lastPrinted>
  <dcterms:created xsi:type="dcterms:W3CDTF">2024-03-22T10:14:00Z</dcterms:created>
  <dcterms:modified xsi:type="dcterms:W3CDTF">2024-03-28T07:58:00Z</dcterms:modified>
</cp:coreProperties>
</file>