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32029E0" w:rsidR="005E46E7" w:rsidRPr="004B394E" w:rsidRDefault="00631FC4" w:rsidP="009E6529">
            <w:pPr>
              <w:ind w:left="1"/>
              <w:rPr>
                <w:rFonts w:ascii="Times New Roman" w:hAnsi="Times New Roman" w:cs="Times New Roman"/>
                <w:i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Свободный земельный участок в 3 га под промышленное предприятие, район </w:t>
            </w:r>
            <w:proofErr w:type="spellStart"/>
            <w:r>
              <w:rPr>
                <w:rFonts w:ascii="Times New Roman" w:hAnsi="Times New Roman" w:cs="Times New Roman"/>
              </w:rPr>
              <w:t>Састы</w:t>
            </w:r>
            <w:bookmarkEnd w:id="0"/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053C553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  <w:r w:rsidR="00CA6B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1141E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1141E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875365D" w:rsidR="00D122F8" w:rsidRPr="006C1A9E" w:rsidRDefault="00F3008F" w:rsidP="009E652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r w:rsidR="009E6529">
              <w:rPr>
                <w:rFonts w:ascii="Times New Roman" w:hAnsi="Times New Roman" w:cs="Times New Roman"/>
              </w:rPr>
              <w:t>г. Сасово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954A93C" w:rsidR="00D122F8" w:rsidRPr="00D703E4" w:rsidRDefault="00D122F8" w:rsidP="009E652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proofErr w:type="spellStart"/>
            <w:r w:rsidR="009E6529">
              <w:rPr>
                <w:rFonts w:ascii="Times New Roman" w:hAnsi="Times New Roman" w:cs="Times New Roman"/>
                <w:i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5F44512C" w:rsidR="00DC01C0" w:rsidRPr="00E115E9" w:rsidRDefault="009E6529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625B900" w:rsidR="00D775B4" w:rsidRPr="00D703E4" w:rsidRDefault="00631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3B805CEF" w:rsidR="00D775B4" w:rsidRPr="00D703E4" w:rsidRDefault="00631FC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29C6242" w:rsidR="00D775B4" w:rsidRPr="00D703E4" w:rsidRDefault="00631FC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209C8212" w:rsidR="00D775B4" w:rsidRPr="00E115E9" w:rsidRDefault="0054474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7C3BF552" w:rsidR="00DC01C0" w:rsidRPr="00E115E9" w:rsidRDefault="0054474E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</w:p>
          <w:p w14:paraId="139B8AFF" w14:textId="04968C55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5FED622" w:rsidR="00106836" w:rsidRPr="00D703E4" w:rsidRDefault="00631FC4" w:rsidP="00DC01C0">
            <w:pPr>
              <w:rPr>
                <w:rFonts w:ascii="Times New Roman" w:hAnsi="Times New Roman" w:cs="Times New Roman"/>
                <w:i/>
                <w:iCs/>
              </w:rPr>
            </w:pPr>
            <w:r w:rsidRPr="00631FC4">
              <w:rPr>
                <w:rFonts w:ascii="Times New Roman" w:hAnsi="Times New Roman" w:cs="Times New Roman"/>
                <w:iCs/>
              </w:rPr>
              <w:t xml:space="preserve">Свободный земельный участок в 3 га под промышленное предприятие, район </w:t>
            </w:r>
            <w:proofErr w:type="spellStart"/>
            <w:r w:rsidRPr="00631FC4">
              <w:rPr>
                <w:rFonts w:ascii="Times New Roman" w:hAnsi="Times New Roman" w:cs="Times New Roman"/>
                <w:iCs/>
              </w:rPr>
              <w:t>Састы</w:t>
            </w:r>
            <w:proofErr w:type="spellEnd"/>
            <w:r w:rsidR="007308A9">
              <w:rPr>
                <w:rFonts w:ascii="Times New Roman" w:hAnsi="Times New Roman" w:cs="Times New Roman"/>
                <w:iCs/>
              </w:rPr>
              <w:t xml:space="preserve">. Рельеф – ровный, грунт – чернозем. Свободная управляемая планировка под любой вид деятельности.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EE7D838" w:rsidR="00DB0F0E" w:rsidRPr="00D703E4" w:rsidRDefault="00631FC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57CB646" w:rsidR="005E46E7" w:rsidRPr="00D703E4" w:rsidRDefault="0054474E" w:rsidP="00631FC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</w:t>
            </w:r>
            <w:r w:rsidR="00631FC4">
              <w:rPr>
                <w:rFonts w:ascii="Times New Roman" w:hAnsi="Times New Roman" w:cs="Times New Roman"/>
                <w:iCs/>
              </w:rPr>
              <w:t>18:097010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7FC23973" w:rsidR="00901788" w:rsidRPr="009D016E" w:rsidRDefault="00631FC4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44DCF5AA" w:rsidR="005F2E19" w:rsidRPr="009D016E" w:rsidRDefault="00631FC4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F04B42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04B42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37E49495" w:rsidR="00FF5CC2" w:rsidRPr="00E115E9" w:rsidRDefault="009D016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D09857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337F33" w:rsidR="00FF5CC2" w:rsidRPr="00A5204C" w:rsidRDefault="009D016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FF5CC2" w:rsidRDefault="009D016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D59E7C5" w:rsidR="005E46E7" w:rsidRPr="00256E19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7308A9">
              <w:rPr>
                <w:rFonts w:ascii="Times New Roman" w:hAnsi="Times New Roman" w:cs="Times New Roman"/>
                <w:iCs/>
              </w:rPr>
              <w:t xml:space="preserve">. Имеется возможность подключения к системе водоснабжения. 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DFD95BD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7308A9">
              <w:rPr>
                <w:rFonts w:ascii="Times New Roman" w:hAnsi="Times New Roman" w:cs="Times New Roman"/>
                <w:iCs/>
              </w:rPr>
              <w:t xml:space="preserve">. </w:t>
            </w:r>
            <w:r w:rsidR="007308A9">
              <w:rPr>
                <w:rFonts w:ascii="Times New Roman" w:hAnsi="Times New Roman" w:cs="Times New Roman"/>
                <w:iCs/>
              </w:rPr>
              <w:t xml:space="preserve">Имеется </w:t>
            </w:r>
            <w:r w:rsidR="007308A9">
              <w:rPr>
                <w:rFonts w:ascii="Times New Roman" w:hAnsi="Times New Roman" w:cs="Times New Roman"/>
                <w:iCs/>
              </w:rPr>
              <w:lastRenderedPageBreak/>
              <w:t xml:space="preserve">возможность подключения к системе </w:t>
            </w:r>
            <w:r w:rsidR="007308A9">
              <w:rPr>
                <w:rFonts w:ascii="Times New Roman" w:hAnsi="Times New Roman" w:cs="Times New Roman"/>
                <w:iCs/>
              </w:rPr>
              <w:t>водоотведения.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B2CFCE6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7308A9">
              <w:rPr>
                <w:rFonts w:ascii="Times New Roman" w:hAnsi="Times New Roman" w:cs="Times New Roman"/>
                <w:iCs/>
              </w:rPr>
              <w:t xml:space="preserve">. </w:t>
            </w:r>
            <w:r w:rsidR="007308A9"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системе </w:t>
            </w:r>
            <w:r w:rsidR="007308A9">
              <w:rPr>
                <w:rFonts w:ascii="Times New Roman" w:hAnsi="Times New Roman" w:cs="Times New Roman"/>
                <w:iCs/>
              </w:rPr>
              <w:t>газоснабжения.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4538501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7308A9">
              <w:rPr>
                <w:rFonts w:ascii="Times New Roman" w:hAnsi="Times New Roman" w:cs="Times New Roman"/>
                <w:iCs/>
              </w:rPr>
              <w:t xml:space="preserve">. </w:t>
            </w:r>
            <w:r w:rsidR="007308A9"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системе </w:t>
            </w:r>
            <w:r w:rsidR="007308A9">
              <w:rPr>
                <w:rFonts w:ascii="Times New Roman" w:hAnsi="Times New Roman" w:cs="Times New Roman"/>
                <w:iCs/>
              </w:rPr>
              <w:t>электроснабжения.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75CD63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7308A9">
              <w:rPr>
                <w:rFonts w:ascii="Times New Roman" w:hAnsi="Times New Roman" w:cs="Times New Roman"/>
                <w:iCs/>
              </w:rPr>
              <w:t xml:space="preserve">. 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7308A9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7308A9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7308A9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EB0FF92" w:rsidR="002A2792" w:rsidRPr="005A30FF" w:rsidRDefault="007308A9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3AEC1891" w:rsidR="00246C96" w:rsidRPr="00C57C42" w:rsidRDefault="00631FC4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7F830E5" w:rsidR="00246C96" w:rsidRPr="00C57C42" w:rsidRDefault="0054474E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7308A9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52FE58E7" w:rsidR="00246C96" w:rsidRPr="00EC6A2C" w:rsidRDefault="00631FC4" w:rsidP="007019ED">
            <w:pPr>
              <w:rPr>
                <w:rFonts w:ascii="Times New Roman" w:hAnsi="Times New Roman" w:cs="Times New Roman"/>
              </w:rPr>
            </w:pPr>
            <w:r w:rsidRPr="00631FC4">
              <w:rPr>
                <w:rFonts w:ascii="Times New Roman" w:hAnsi="Times New Roman" w:cs="Times New Roman"/>
              </w:rPr>
              <w:lastRenderedPageBreak/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27A9798" w:rsidR="00246C96" w:rsidRPr="00EC6A2C" w:rsidRDefault="00631FC4" w:rsidP="005447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1A994AF" w:rsidR="005A30FF" w:rsidRPr="004A22CF" w:rsidRDefault="00631FC4" w:rsidP="007019ED">
            <w:pPr>
              <w:rPr>
                <w:rFonts w:ascii="Times New Roman" w:hAnsi="Times New Roman" w:cs="Times New Roman"/>
              </w:rPr>
            </w:pPr>
            <w:r w:rsidRPr="00631FC4">
              <w:rPr>
                <w:rFonts w:ascii="Times New Roman" w:hAnsi="Times New Roman" w:cs="Times New Roman"/>
              </w:rPr>
              <w:t>Информация о состоянии, об использовании, ограничениях использования территор</w:t>
            </w:r>
            <w:r w:rsidR="007308A9">
              <w:rPr>
                <w:rFonts w:ascii="Times New Roman" w:hAnsi="Times New Roman" w:cs="Times New Roman"/>
              </w:rPr>
              <w:t>ии</w:t>
            </w:r>
            <w:r w:rsidR="006E44FC" w:rsidRPr="00CE0250">
              <w:rPr>
                <w:rFonts w:ascii="Times New Roman" w:hAnsi="Times New Roman" w:cs="Times New Roman"/>
              </w:rPr>
              <w:t>.</w:t>
            </w:r>
            <w:r w:rsidR="006E44FC" w:rsidRPr="00CE0250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5C182B2" w:rsidR="005A30FF" w:rsidRPr="004A22CF" w:rsidRDefault="00631FC4" w:rsidP="007019ED">
            <w:pPr>
              <w:rPr>
                <w:rFonts w:ascii="Times New Roman" w:hAnsi="Times New Roman" w:cs="Times New Roman"/>
              </w:rPr>
            </w:pPr>
            <w:r w:rsidRPr="00631FC4">
              <w:rPr>
                <w:rFonts w:ascii="Times New Roman" w:hAnsi="Times New Roman" w:cs="Times New Roman"/>
              </w:rPr>
              <w:t>IMG_20251217_123648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631FC4">
              <w:rPr>
                <w:rFonts w:ascii="Times New Roman" w:hAnsi="Times New Roman" w:cs="Times New Roman"/>
              </w:rPr>
              <w:t>IMG_20251217_123651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631FC4">
              <w:rPr>
                <w:rFonts w:ascii="Times New Roman" w:hAnsi="Times New Roman" w:cs="Times New Roman"/>
              </w:rPr>
              <w:t>IMG_20251217_123749</w:t>
            </w:r>
            <w:r w:rsidR="004436BB" w:rsidRPr="00443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559ED3C" w:rsidR="00246C96" w:rsidRPr="00051BFD" w:rsidRDefault="006E44FC" w:rsidP="00631F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9455D">
              <w:rPr>
                <w:rFonts w:ascii="Times New Roman" w:hAnsi="Times New Roman" w:cs="Times New Roman"/>
              </w:rPr>
              <w:t>.3</w:t>
            </w:r>
            <w:r w:rsidR="00631FC4">
              <w:rPr>
                <w:rFonts w:ascii="Times New Roman" w:hAnsi="Times New Roman" w:cs="Times New Roman"/>
              </w:rPr>
              <w:t>768442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8E27FC3" w:rsidR="00246C96" w:rsidRDefault="006E44FC" w:rsidP="00631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="00631FC4">
              <w:rPr>
                <w:rFonts w:ascii="Times New Roman" w:hAnsi="Times New Roman" w:cs="Times New Roman"/>
              </w:rPr>
              <w:t>9458544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8656E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4474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1FC4"/>
    <w:rsid w:val="00650B53"/>
    <w:rsid w:val="006A6029"/>
    <w:rsid w:val="006C1A9E"/>
    <w:rsid w:val="006D4D14"/>
    <w:rsid w:val="006E40AC"/>
    <w:rsid w:val="006E44FC"/>
    <w:rsid w:val="007019ED"/>
    <w:rsid w:val="00701E94"/>
    <w:rsid w:val="00712D3A"/>
    <w:rsid w:val="00713254"/>
    <w:rsid w:val="007308A9"/>
    <w:rsid w:val="007A3E31"/>
    <w:rsid w:val="007C619C"/>
    <w:rsid w:val="007D724D"/>
    <w:rsid w:val="007E4796"/>
    <w:rsid w:val="0081202B"/>
    <w:rsid w:val="00842E49"/>
    <w:rsid w:val="00847481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9E6529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55D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57C42"/>
    <w:rsid w:val="00C840E7"/>
    <w:rsid w:val="00C9345C"/>
    <w:rsid w:val="00CA14BD"/>
    <w:rsid w:val="00CA6BD0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01C0"/>
    <w:rsid w:val="00DC504C"/>
    <w:rsid w:val="00DD1455"/>
    <w:rsid w:val="00DF7858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3A05-0CD1-4E62-9482-8D92F9C5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60</cp:revision>
  <cp:lastPrinted>2026-02-09T12:11:00Z</cp:lastPrinted>
  <dcterms:created xsi:type="dcterms:W3CDTF">2026-01-13T10:01:00Z</dcterms:created>
  <dcterms:modified xsi:type="dcterms:W3CDTF">2026-02-10T12:30:00Z</dcterms:modified>
</cp:coreProperties>
</file>