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364EA4">
            <w:pPr>
              <w:pStyle w:val="a7"/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3A3B88D6" w:rsidR="005E46E7" w:rsidRPr="004B394E" w:rsidRDefault="00364EA4" w:rsidP="004B394E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Земельный участок 10,82 га для ведения сельскохозяйственной деятельности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789DF42E" w:rsidR="005E46E7" w:rsidRPr="00364EA4" w:rsidRDefault="005E46E7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79E536B5" w14:textId="77777777" w:rsidTr="00B01792">
        <w:tc>
          <w:tcPr>
            <w:tcW w:w="817" w:type="dxa"/>
          </w:tcPr>
          <w:p w14:paraId="0F11275B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5EAD7A9A" w:rsidR="005E46E7" w:rsidRPr="00E937DD" w:rsidRDefault="005E46E7" w:rsidP="00051BFD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122F8" w:rsidRDefault="005E46E7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40454362" w:rsidR="005E46E7" w:rsidRPr="00D122F8" w:rsidRDefault="005E46E7" w:rsidP="00364EA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5E46E7" w:rsidRPr="00E2548C" w:rsidRDefault="005E46E7" w:rsidP="00364EA4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C36CD7C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122F8" w:rsidRPr="00D703E4" w14:paraId="7A7C4134" w14:textId="77777777" w:rsidTr="00B01792">
        <w:tc>
          <w:tcPr>
            <w:tcW w:w="817" w:type="dxa"/>
          </w:tcPr>
          <w:p w14:paraId="60CE4353" w14:textId="4AFBD0C8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2F1A2999" w:rsidR="00D122F8" w:rsidRPr="004A196B" w:rsidRDefault="00364EA4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D122F8" w:rsidRPr="00D703E4" w14:paraId="6F8EBACB" w14:textId="77777777" w:rsidTr="00B01792">
        <w:tc>
          <w:tcPr>
            <w:tcW w:w="817" w:type="dxa"/>
          </w:tcPr>
          <w:p w14:paraId="17FB3692" w14:textId="39855DA0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32A4C2CB" w:rsidR="00D122F8" w:rsidRPr="006C1A9E" w:rsidRDefault="00364EA4">
            <w:pPr>
              <w:rPr>
                <w:rFonts w:ascii="Times New Roman" w:hAnsi="Times New Roman" w:cs="Times New Roman"/>
                <w:i/>
              </w:rPr>
            </w:pPr>
            <w:r w:rsidRPr="00E5557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обл. Рязанская,  Ряжский</w:t>
            </w:r>
            <w:r w:rsidR="0059715C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 муниципальный округ</w:t>
            </w:r>
            <w:r w:rsidRPr="00E55575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АОЗТ "Заря"</w:t>
            </w:r>
          </w:p>
        </w:tc>
      </w:tr>
      <w:tr w:rsidR="00D122F8" w:rsidRPr="00D703E4" w14:paraId="2F54C7BD" w14:textId="77777777" w:rsidTr="00B01792">
        <w:tc>
          <w:tcPr>
            <w:tcW w:w="817" w:type="dxa"/>
          </w:tcPr>
          <w:p w14:paraId="6F8C2E1E" w14:textId="4C659C37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1EA42EF4" w:rsidR="00D122F8" w:rsidRPr="00D703E4" w:rsidRDefault="00D122F8" w:rsidP="00C0690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="00364EA4">
              <w:rPr>
                <w:rFonts w:ascii="Times New Roman" w:hAnsi="Times New Roman" w:cs="Times New Roman"/>
              </w:rPr>
              <w:t>г. Ряжск</w:t>
            </w:r>
          </w:p>
        </w:tc>
      </w:tr>
      <w:tr w:rsidR="00D122F8" w:rsidRPr="00D703E4" w14:paraId="326438EE" w14:textId="77777777" w:rsidTr="00B01792">
        <w:tc>
          <w:tcPr>
            <w:tcW w:w="817" w:type="dxa"/>
          </w:tcPr>
          <w:p w14:paraId="7A8CA9A4" w14:textId="7126C2B1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77777777" w:rsidR="00D122F8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1BA9F925" w:rsidR="00D122F8" w:rsidRPr="00D703E4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122F8" w:rsidRPr="00D703E4" w14:paraId="7286638D" w14:textId="77777777" w:rsidTr="00B01792">
        <w:tc>
          <w:tcPr>
            <w:tcW w:w="817" w:type="dxa"/>
          </w:tcPr>
          <w:p w14:paraId="6AC95BA1" w14:textId="770802E6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D122F8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62C7C440" w:rsidR="00D122F8" w:rsidRPr="00D703E4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94653F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94653F" w:rsidRPr="00134DB2" w:rsidRDefault="0094653F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94653F" w:rsidRPr="00D703E4" w14:paraId="662D6CF2" w14:textId="77777777" w:rsidTr="00B01792">
        <w:tc>
          <w:tcPr>
            <w:tcW w:w="817" w:type="dxa"/>
          </w:tcPr>
          <w:p w14:paraId="698C8DB9" w14:textId="77777777" w:rsidR="0094653F" w:rsidRPr="00134DB2" w:rsidRDefault="0094653F" w:rsidP="0094653F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94653F" w:rsidRPr="00D703E4" w:rsidRDefault="0094653F" w:rsidP="00F96663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5E74613A" w:rsidR="0094653F" w:rsidRPr="0094653F" w:rsidRDefault="00DF4F15" w:rsidP="00364EA4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24C0B3DA" w:rsidR="0094653F" w:rsidRPr="0094653F" w:rsidRDefault="0094653F" w:rsidP="00364EA4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5E46E7" w:rsidRPr="00134DB2" w:rsidRDefault="005E46E7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D122F8" w:rsidRPr="00D703E4" w14:paraId="70BDB120" w14:textId="77777777" w:rsidTr="00B01792">
        <w:tc>
          <w:tcPr>
            <w:tcW w:w="817" w:type="dxa"/>
          </w:tcPr>
          <w:p w14:paraId="28A3AA3C" w14:textId="0964227A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0CD2FD4" w14:textId="7BC0C82C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</w:p>
          <w:p w14:paraId="4082B099" w14:textId="113CF260" w:rsidR="00D122F8" w:rsidRPr="00D703E4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</w:tc>
      </w:tr>
      <w:tr w:rsidR="00D122F8" w:rsidRPr="00D703E4" w14:paraId="7B21EA47" w14:textId="77777777" w:rsidTr="00B01792">
        <w:tc>
          <w:tcPr>
            <w:tcW w:w="817" w:type="dxa"/>
          </w:tcPr>
          <w:p w14:paraId="0E5CF765" w14:textId="618B4B9B" w:rsidR="00D122F8" w:rsidRPr="00134DB2" w:rsidRDefault="00D122F8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122F8" w:rsidRPr="00D703E4" w:rsidRDefault="00D122F8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D122F8" w:rsidRPr="00E115E9" w:rsidRDefault="00D122F8" w:rsidP="00364EA4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6A2B0837" w:rsidR="00D122F8" w:rsidRPr="00D122F8" w:rsidRDefault="00D122F8" w:rsidP="00D122F8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75B4" w:rsidRPr="00D703E4" w14:paraId="21064C76" w14:textId="77777777" w:rsidTr="00B01792">
        <w:tc>
          <w:tcPr>
            <w:tcW w:w="817" w:type="dxa"/>
          </w:tcPr>
          <w:p w14:paraId="4A4C0930" w14:textId="37E0565F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 w:rsidR="0055026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7ACC23EA" w14:textId="77777777" w:rsidR="00364EA4" w:rsidRDefault="00364EA4" w:rsidP="00364EA4">
            <w:pPr>
              <w:rPr>
                <w:rFonts w:ascii="Times New Roman" w:hAnsi="Times New Roman" w:cs="Times New Roman"/>
                <w:color w:val="252625"/>
                <w:shd w:val="clear" w:color="auto" w:fill="FFFFFF"/>
              </w:rPr>
            </w:pPr>
            <w:r w:rsidRPr="00AE5439">
              <w:rPr>
                <w:rFonts w:ascii="Times New Roman" w:hAnsi="Times New Roman" w:cs="Times New Roman"/>
                <w:color w:val="252625"/>
                <w:shd w:val="clear" w:color="auto" w:fill="FFFFFF"/>
              </w:rPr>
              <w:t>611 330,00</w:t>
            </w:r>
          </w:p>
          <w:p w14:paraId="189ED962" w14:textId="5DC572A6" w:rsidR="00D775B4" w:rsidRPr="00D703E4" w:rsidRDefault="00D775B4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3A72F257" w14:textId="77777777" w:rsidTr="00B01792">
        <w:tc>
          <w:tcPr>
            <w:tcW w:w="817" w:type="dxa"/>
          </w:tcPr>
          <w:p w14:paraId="6B85E294" w14:textId="345E44EB" w:rsidR="00D775B4" w:rsidRPr="00134DB2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3503C796" w14:textId="77777777" w:rsidR="00364EA4" w:rsidRPr="00EB5D96" w:rsidRDefault="00364EA4" w:rsidP="00364EA4">
            <w:pPr>
              <w:rPr>
                <w:rFonts w:ascii="Times New Roman" w:hAnsi="Times New Roman" w:cs="Times New Roman"/>
                <w:color w:val="252625"/>
                <w:shd w:val="clear" w:color="auto" w:fill="FFFFFF"/>
              </w:rPr>
            </w:pPr>
            <w:r w:rsidRPr="00EB5D96">
              <w:rPr>
                <w:rFonts w:ascii="Times New Roman" w:hAnsi="Times New Roman" w:cs="Times New Roman"/>
              </w:rPr>
              <w:t>847,5</w:t>
            </w:r>
          </w:p>
          <w:p w14:paraId="0C83E19D" w14:textId="5C940153" w:rsidR="00D775B4" w:rsidRPr="00D703E4" w:rsidRDefault="00D775B4" w:rsidP="008C2477">
            <w:pPr>
              <w:rPr>
                <w:rFonts w:ascii="Times New Roman" w:hAnsi="Times New Roman" w:cs="Times New Roman"/>
              </w:rPr>
            </w:pPr>
          </w:p>
        </w:tc>
      </w:tr>
      <w:tr w:rsidR="00D775B4" w:rsidRPr="00D703E4" w14:paraId="4476EF8F" w14:textId="77777777" w:rsidTr="00B01792">
        <w:tc>
          <w:tcPr>
            <w:tcW w:w="817" w:type="dxa"/>
          </w:tcPr>
          <w:p w14:paraId="5925E764" w14:textId="1F86AD03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5FBC36C3" w:rsidR="00D775B4" w:rsidRPr="00D703E4" w:rsidRDefault="00364EA4" w:rsidP="008C2477">
            <w:pPr>
              <w:rPr>
                <w:rFonts w:ascii="Times New Roman" w:hAnsi="Times New Roman" w:cs="Times New Roman"/>
              </w:rPr>
            </w:pPr>
            <w:r w:rsidRPr="00EB5D96">
              <w:rPr>
                <w:rFonts w:ascii="Times New Roman" w:hAnsi="Times New Roman" w:cs="Times New Roman"/>
              </w:rPr>
              <w:t>0,08475</w:t>
            </w:r>
          </w:p>
        </w:tc>
      </w:tr>
      <w:tr w:rsidR="00D775B4" w:rsidRPr="00D703E4" w14:paraId="625F6045" w14:textId="77777777" w:rsidTr="00B01792">
        <w:tc>
          <w:tcPr>
            <w:tcW w:w="817" w:type="dxa"/>
          </w:tcPr>
          <w:p w14:paraId="7A901403" w14:textId="0CA80411" w:rsidR="00D775B4" w:rsidRPr="00FF7A9A" w:rsidRDefault="00D775B4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775B4" w:rsidRPr="00D703E4" w:rsidRDefault="00D775B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C6817CC" w:rsidR="00D775B4" w:rsidRPr="00D703E4" w:rsidRDefault="00364EA4" w:rsidP="0060669B">
            <w:pPr>
              <w:rPr>
                <w:rFonts w:ascii="Times New Roman" w:hAnsi="Times New Roman" w:cs="Times New Roman"/>
              </w:rPr>
            </w:pPr>
            <w:r w:rsidRPr="00EB5D96">
              <w:rPr>
                <w:rFonts w:ascii="Times New Roman" w:hAnsi="Times New Roman" w:cs="Times New Roman"/>
              </w:rPr>
              <w:t>3 - 49</w:t>
            </w:r>
          </w:p>
        </w:tc>
      </w:tr>
      <w:tr w:rsidR="00364EA4" w:rsidRPr="00D703E4" w14:paraId="52CDAA71" w14:textId="77777777" w:rsidTr="00B01792">
        <w:tc>
          <w:tcPr>
            <w:tcW w:w="817" w:type="dxa"/>
          </w:tcPr>
          <w:p w14:paraId="6CBDA983" w14:textId="24B0A797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2760E36C" w14:textId="77777777" w:rsidR="00364EA4" w:rsidRPr="00EB5D96" w:rsidRDefault="00364EA4" w:rsidP="00364EA4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EB5D96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51301E9E" w14:textId="77777777" w:rsidTr="00B01792">
        <w:tc>
          <w:tcPr>
            <w:tcW w:w="817" w:type="dxa"/>
          </w:tcPr>
          <w:p w14:paraId="6F87F6E9" w14:textId="281A142A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364EA4" w:rsidRPr="00E115E9" w:rsidRDefault="00364EA4" w:rsidP="00364EA4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4A825DF8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4E38EFAC" w14:textId="77777777" w:rsidTr="00B01792">
        <w:tc>
          <w:tcPr>
            <w:tcW w:w="817" w:type="dxa"/>
          </w:tcPr>
          <w:p w14:paraId="5EAD38CA" w14:textId="0B844D9A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065BBCD4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364EA4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64EA4" w:rsidRPr="00134DB2" w:rsidRDefault="00364EA4" w:rsidP="00364EA4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364EA4" w:rsidRPr="00D703E4" w14:paraId="76971714" w14:textId="77777777" w:rsidTr="00B01792">
        <w:tc>
          <w:tcPr>
            <w:tcW w:w="817" w:type="dxa"/>
          </w:tcPr>
          <w:p w14:paraId="48294639" w14:textId="6DA1C537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05F898AD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  <w:r w:rsidRPr="00EB5D96">
              <w:rPr>
                <w:rFonts w:ascii="Times New Roman" w:hAnsi="Times New Roman" w:cs="Times New Roman"/>
              </w:rPr>
              <w:t>10,82</w:t>
            </w:r>
          </w:p>
        </w:tc>
      </w:tr>
      <w:tr w:rsidR="00364EA4" w:rsidRPr="00D703E4" w14:paraId="41998512" w14:textId="77777777" w:rsidTr="00B01792">
        <w:tc>
          <w:tcPr>
            <w:tcW w:w="817" w:type="dxa"/>
          </w:tcPr>
          <w:p w14:paraId="2533C557" w14:textId="7217B8A0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724F57C8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  <w:r w:rsidRPr="00EB5D96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EB5D96">
              <w:rPr>
                <w:rFonts w:ascii="Times New Roman" w:eastAsia="Calibri" w:hAnsi="Times New Roman" w:cs="Times New Roman"/>
              </w:rPr>
              <w:t>14</w:t>
            </w:r>
            <w:r w:rsidRPr="00EB5D96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EB5D96">
              <w:rPr>
                <w:rFonts w:ascii="Times New Roman" w:eastAsia="Calibri" w:hAnsi="Times New Roman" w:cs="Times New Roman"/>
              </w:rPr>
              <w:t>0660401</w:t>
            </w:r>
            <w:r w:rsidRPr="00EB5D96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EB5D96">
              <w:rPr>
                <w:rFonts w:ascii="Times New Roman" w:eastAsia="Calibri" w:hAnsi="Times New Roman" w:cs="Times New Roman"/>
              </w:rPr>
              <w:t>164</w:t>
            </w:r>
          </w:p>
        </w:tc>
      </w:tr>
      <w:tr w:rsidR="00364EA4" w:rsidRPr="00D703E4" w14:paraId="14D0D158" w14:textId="77777777" w:rsidTr="00B01792">
        <w:tc>
          <w:tcPr>
            <w:tcW w:w="817" w:type="dxa"/>
          </w:tcPr>
          <w:p w14:paraId="17CE856E" w14:textId="1312D6AD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6BD8A0B" w14:textId="77777777" w:rsidR="00364EA4" w:rsidRPr="00E115E9" w:rsidRDefault="00364EA4" w:rsidP="001F2A87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32F786F1" w:rsidR="00364EA4" w:rsidRPr="00FF5CC2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19E595D2" w14:textId="71439EB7" w:rsidTr="00B01792">
        <w:tc>
          <w:tcPr>
            <w:tcW w:w="817" w:type="dxa"/>
          </w:tcPr>
          <w:p w14:paraId="418802F0" w14:textId="54C26AC3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1194F6C5" w:rsidR="00364EA4" w:rsidRPr="001F2A87" w:rsidRDefault="00364EA4" w:rsidP="001F2A87">
            <w:pPr>
              <w:pStyle w:val="a7"/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364EA4" w:rsidRPr="00D703E4" w14:paraId="71F887EF" w14:textId="383618BF" w:rsidTr="00B01792">
        <w:tc>
          <w:tcPr>
            <w:tcW w:w="817" w:type="dxa"/>
          </w:tcPr>
          <w:p w14:paraId="078770A1" w14:textId="4186925B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64EA4" w:rsidRPr="00712D3A" w:rsidRDefault="00364EA4" w:rsidP="00364E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0E6025B1" w14:textId="6CDE9091" w:rsidR="00364EA4" w:rsidRPr="001F2A87" w:rsidRDefault="00364EA4" w:rsidP="001F2A87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</w:tc>
      </w:tr>
      <w:tr w:rsidR="00364EA4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64EA4" w:rsidRPr="00134DB2" w:rsidRDefault="00364EA4" w:rsidP="00364EA4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64EA4" w:rsidRPr="00D703E4" w14:paraId="50BD4008" w14:textId="77777777" w:rsidTr="00B01792">
        <w:tc>
          <w:tcPr>
            <w:tcW w:w="817" w:type="dxa"/>
          </w:tcPr>
          <w:p w14:paraId="185ED651" w14:textId="62A98CE4" w:rsidR="00364EA4" w:rsidRPr="00134DB2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64EA4" w:rsidRPr="00D703E4" w:rsidRDefault="00364EA4" w:rsidP="00364EA4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64EA4" w:rsidRPr="00D703E4" w:rsidRDefault="00364EA4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1E321810" w14:textId="77777777" w:rsidTr="00B01792">
        <w:tc>
          <w:tcPr>
            <w:tcW w:w="817" w:type="dxa"/>
          </w:tcPr>
          <w:p w14:paraId="2798CFC2" w14:textId="1D8EECE2" w:rsidR="00364EA4" w:rsidRPr="00FF7A9A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64EA4" w:rsidRPr="009952B2" w:rsidRDefault="00364EA4" w:rsidP="00364EA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315D033D" w:rsidR="00364EA4" w:rsidRPr="00D703E4" w:rsidRDefault="00364EA4" w:rsidP="00364EA4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64EA4" w:rsidRPr="00D703E4" w14:paraId="37C81D86" w14:textId="77777777" w:rsidTr="00B01792">
        <w:tc>
          <w:tcPr>
            <w:tcW w:w="817" w:type="dxa"/>
          </w:tcPr>
          <w:p w14:paraId="0B0D7055" w14:textId="0F225CB7" w:rsidR="00364EA4" w:rsidRPr="00FF7A9A" w:rsidRDefault="00364EA4" w:rsidP="00364EA4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64EA4" w:rsidRPr="009952B2" w:rsidRDefault="00364EA4" w:rsidP="00364EA4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5851F8AD" w:rsidR="00364EA4" w:rsidRPr="00A5204C" w:rsidRDefault="00364EA4" w:rsidP="00364EA4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1F2A87" w:rsidRPr="00D703E4" w14:paraId="20A60AE0" w14:textId="77777777" w:rsidTr="00B01792">
        <w:tc>
          <w:tcPr>
            <w:tcW w:w="817" w:type="dxa"/>
          </w:tcPr>
          <w:p w14:paraId="3C92BE68" w14:textId="344B9E51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3F1EA9F9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1F2A87" w:rsidRPr="00D703E4" w14:paraId="38E39DE5" w14:textId="77777777" w:rsidTr="00B01792">
        <w:tc>
          <w:tcPr>
            <w:tcW w:w="817" w:type="dxa"/>
          </w:tcPr>
          <w:p w14:paraId="67C1FAE4" w14:textId="540547FD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23F26B64" w:rsidR="001F2A87" w:rsidRPr="00FF5CC2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01D5FCBE" w14:textId="77777777" w:rsidTr="00B01792">
        <w:tc>
          <w:tcPr>
            <w:tcW w:w="817" w:type="dxa"/>
          </w:tcPr>
          <w:p w14:paraId="617CA4DA" w14:textId="69A7A87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AF09AAE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eastAsia="Calibri" w:hAnsi="Times New Roman" w:cs="Times New Roman"/>
              </w:rPr>
              <w:t>Духанина Анастасия Сергеевна</w:t>
            </w:r>
            <w:r w:rsidR="00CC3480">
              <w:rPr>
                <w:rFonts w:ascii="Times New Roman" w:eastAsia="Calibri" w:hAnsi="Times New Roman" w:cs="Times New Roman"/>
              </w:rPr>
              <w:t>, начальник отдела по управлению муниципальным имуществом</w:t>
            </w:r>
          </w:p>
        </w:tc>
      </w:tr>
      <w:tr w:rsidR="001F2A87" w:rsidRPr="00D703E4" w14:paraId="083171AA" w14:textId="77777777" w:rsidTr="00B01792">
        <w:tc>
          <w:tcPr>
            <w:tcW w:w="817" w:type="dxa"/>
          </w:tcPr>
          <w:p w14:paraId="2159C6CF" w14:textId="5FF62110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54DC788B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eastAsia="Calibri" w:hAnsi="Times New Roman" w:cs="Times New Roman"/>
              </w:rPr>
              <w:t xml:space="preserve">+74913221346, </w:t>
            </w:r>
            <w:r w:rsidRPr="001F2A87">
              <w:rPr>
                <w:rFonts w:ascii="Times New Roman" w:eastAsia="Calibri" w:hAnsi="Times New Roman" w:cs="Times New Roman"/>
                <w:lang w:val="en-US"/>
              </w:rPr>
              <w:t>oumi</w:t>
            </w:r>
            <w:r w:rsidRPr="001F2A87">
              <w:rPr>
                <w:rFonts w:ascii="Times New Roman" w:eastAsia="Calibri" w:hAnsi="Times New Roman" w:cs="Times New Roman"/>
              </w:rPr>
              <w:t>2@</w:t>
            </w:r>
            <w:r w:rsidRPr="001F2A87">
              <w:rPr>
                <w:rFonts w:ascii="Times New Roman" w:eastAsia="Calibri" w:hAnsi="Times New Roman" w:cs="Times New Roman"/>
                <w:lang w:val="en-US"/>
              </w:rPr>
              <w:t>ryajsk</w:t>
            </w:r>
            <w:r w:rsidRPr="001F2A87">
              <w:rPr>
                <w:rFonts w:ascii="Times New Roman" w:eastAsia="Calibri" w:hAnsi="Times New Roman" w:cs="Times New Roman"/>
              </w:rPr>
              <w:t>.</w:t>
            </w:r>
            <w:r w:rsidRPr="001F2A87">
              <w:rPr>
                <w:rFonts w:ascii="Times New Roman" w:eastAsia="Calibri" w:hAnsi="Times New Roman" w:cs="Times New Roman"/>
                <w:lang w:val="en-US"/>
              </w:rPr>
              <w:t>ru</w:t>
            </w:r>
          </w:p>
        </w:tc>
      </w:tr>
      <w:tr w:rsidR="001F2A87" w:rsidRPr="00D703E4" w14:paraId="07CDF860" w14:textId="77777777" w:rsidTr="00B01792">
        <w:tc>
          <w:tcPr>
            <w:tcW w:w="817" w:type="dxa"/>
          </w:tcPr>
          <w:p w14:paraId="5FF3530C" w14:textId="005F4220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04A0EC8E" w:rsidR="001F2A87" w:rsidRPr="001F2A87" w:rsidRDefault="001F2A87" w:rsidP="001F2A87">
            <w:pPr>
              <w:rPr>
                <w:rFonts w:ascii="Times New Roman" w:hAnsi="Times New Roman" w:cs="Times New Roman"/>
              </w:rPr>
            </w:pPr>
            <w:r w:rsidRPr="001F2A87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1F2A87" w:rsidRPr="00D703E4" w14:paraId="0F190FA0" w14:textId="77777777" w:rsidTr="00B01792">
        <w:tc>
          <w:tcPr>
            <w:tcW w:w="817" w:type="dxa"/>
          </w:tcPr>
          <w:p w14:paraId="354C6FDB" w14:textId="61787AE6" w:rsidR="001F2A87" w:rsidRPr="001F2A87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2C9FC394" w:rsidR="001F2A87" w:rsidRPr="006E40AC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1F2A87" w:rsidRPr="00134DB2" w:rsidRDefault="001F2A87" w:rsidP="001F2A87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1F2A87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1F2A87" w:rsidRPr="00A84802" w:rsidRDefault="001F2A87" w:rsidP="001F2A87">
            <w:pPr>
              <w:pStyle w:val="af5"/>
              <w:ind w:left="720"/>
            </w:pPr>
            <w:r w:rsidRPr="00A84802">
              <w:t>Нет</w:t>
            </w:r>
          </w:p>
          <w:p w14:paraId="2B9C8B0F" w14:textId="081EBCE4" w:rsidR="001F2A87" w:rsidRPr="00D703E4" w:rsidRDefault="001F2A87" w:rsidP="001F2A87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1F2A87" w:rsidRPr="00D703E4" w:rsidRDefault="001F2A87" w:rsidP="001F2A87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1F2A87" w:rsidRPr="00256E19" w:rsidRDefault="001F2A87" w:rsidP="001F2A87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1F2A87" w:rsidRPr="00256E19" w:rsidRDefault="001F2A87" w:rsidP="001F2A87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1E412C2E" w:rsidR="001F2A87" w:rsidRPr="00A84802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1F2A87" w:rsidRPr="00D703E4" w:rsidRDefault="001F2A87" w:rsidP="001F2A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1F2A87" w:rsidRPr="00256E19" w:rsidRDefault="001F2A87" w:rsidP="001F2A87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548A0C6" w:rsidR="001F2A87" w:rsidRPr="00A84802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1F2A87" w:rsidRPr="00D703E4" w:rsidRDefault="001F2A87" w:rsidP="001F2A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E4CB163" w:rsidR="001F2A87" w:rsidRPr="00256E19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1F2A87" w:rsidRPr="00D703E4" w:rsidRDefault="001F2A87" w:rsidP="001F2A87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2F3DD432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1F2A87" w:rsidRPr="00D703E4" w:rsidRDefault="001F2A87" w:rsidP="001F2A87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1F2A87" w:rsidRPr="00D703E4" w:rsidRDefault="001F2A87" w:rsidP="001F2A87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7202429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5BC1EFE0" w:rsidR="001F2A87" w:rsidRPr="0029142B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A1C4DCD" w:rsidR="001F2A87" w:rsidRPr="00256E19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6AE17AC0" w:rsidR="001F2A87" w:rsidRPr="00256E19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1F2A87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1F2A87" w:rsidRPr="00D703E4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72F0A50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1F2A87" w:rsidRPr="00DF4F15" w:rsidRDefault="001F2A87" w:rsidP="001F2A87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DF4F15">
              <w:rPr>
                <w:rFonts w:ascii="Times New Roman" w:hAnsi="Times New Roman" w:cs="Times New Roman"/>
              </w:rPr>
              <w:t>Нет</w:t>
            </w:r>
          </w:p>
          <w:p w14:paraId="198BE592" w14:textId="12AB94EE" w:rsidR="001F2A87" w:rsidRPr="00DF4F15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B7D173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1F2A87" w:rsidRPr="00DF4F15" w:rsidRDefault="001F2A87" w:rsidP="001F2A87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8F0B85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75DD3BF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4351984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2C4C45F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0524207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5FD6C7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637BE4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38C16A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1F2A87" w:rsidRPr="00DF4F15" w:rsidRDefault="001F2A87" w:rsidP="001F2A87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404D71D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1F2A87" w:rsidRPr="00DF4F15" w:rsidRDefault="001F2A87" w:rsidP="001F2A87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DF4F15">
              <w:rPr>
                <w:rFonts w:ascii="Times New Roman" w:hAnsi="Times New Roman" w:cs="Times New Roman"/>
              </w:rPr>
              <w:t>Нет</w:t>
            </w:r>
          </w:p>
          <w:p w14:paraId="559DFD73" w14:textId="7615EE6B" w:rsidR="001F2A87" w:rsidRPr="00DF4F15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4268757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1F2A87" w:rsidRPr="00D777FC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C6FDE3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2AAC47A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2E45DEE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85532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AD4F0F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762C103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1377C0F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1F2A87" w:rsidRPr="00D703E4" w:rsidRDefault="001F2A87" w:rsidP="001F2A87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74327E3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1F2A87" w:rsidRPr="00DF4F15" w:rsidRDefault="001F2A87" w:rsidP="001F2A87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DF4F15">
              <w:rPr>
                <w:rFonts w:ascii="Times New Roman" w:hAnsi="Times New Roman" w:cs="Times New Roman"/>
              </w:rPr>
              <w:t>Нет</w:t>
            </w:r>
          </w:p>
          <w:p w14:paraId="327758BC" w14:textId="502231C5" w:rsidR="001F2A87" w:rsidRPr="00A84802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ADC2836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7AFF6AB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33AD08A7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031CE5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C62AC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1F2A87" w:rsidRPr="00F86D52" w:rsidRDefault="001F2A87" w:rsidP="001F2A87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A65386B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683225F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66E6ED9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1F2A87" w:rsidRPr="00D703E4" w:rsidRDefault="001F2A87" w:rsidP="001F2A87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1F2A87" w:rsidRPr="00D703E4" w:rsidRDefault="001F2A87" w:rsidP="001F2A87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4436700F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1F2A87" w:rsidRPr="00DF4F15" w:rsidRDefault="001F2A87" w:rsidP="001F2A87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DF4F15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1F2A87" w:rsidRPr="00D703E4" w:rsidRDefault="001F2A87" w:rsidP="001F2A87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EC0A43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1478F4D0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1F2A87" w:rsidRPr="00256E19" w:rsidRDefault="001F2A87" w:rsidP="001F2A87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F5483B6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4DC723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0ADD8AD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0234C7D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3A4C1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788547B2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1F2A87" w:rsidRPr="00D703E4" w:rsidRDefault="001F2A87" w:rsidP="001F2A87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1F2A87" w:rsidRPr="00D703E4" w:rsidRDefault="001F2A87" w:rsidP="001F2A87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1F2A87" w:rsidRPr="00D703E4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2C1C6CDA" w:rsidR="001F2A87" w:rsidRPr="00256E19" w:rsidRDefault="001F2A87" w:rsidP="001F2A87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1F2A87" w:rsidRPr="00134DB2" w:rsidRDefault="001F2A87" w:rsidP="001F2A87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1F2A87" w:rsidRPr="00D703E4" w14:paraId="54D6B7AA" w14:textId="77777777" w:rsidTr="00B01792">
        <w:tc>
          <w:tcPr>
            <w:tcW w:w="817" w:type="dxa"/>
          </w:tcPr>
          <w:p w14:paraId="6D146BE2" w14:textId="3B83FEA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0AB3716B" w:rsidR="001F2A87" w:rsidRPr="00BD7D80" w:rsidRDefault="00CC3480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создание</w:t>
            </w:r>
          </w:p>
          <w:p w14:paraId="7A5CCAA3" w14:textId="5988C454" w:rsidR="001F2A87" w:rsidRPr="005A30FF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22D51F3E" w14:textId="77777777" w:rsidTr="00B01792">
        <w:tc>
          <w:tcPr>
            <w:tcW w:w="817" w:type="dxa"/>
          </w:tcPr>
          <w:p w14:paraId="22BB8BB6" w14:textId="51CC832A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1F2A87" w:rsidRPr="00F51D5A" w:rsidRDefault="001F2A87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Вывоз ТКО Тариф, руб./тонна *</w:t>
            </w:r>
          </w:p>
        </w:tc>
        <w:tc>
          <w:tcPr>
            <w:tcW w:w="11906" w:type="dxa"/>
            <w:gridSpan w:val="5"/>
          </w:tcPr>
          <w:p w14:paraId="5907FF2C" w14:textId="3B9FF4F4" w:rsidR="001F2A87" w:rsidRPr="00F51D5A" w:rsidRDefault="00F51D5A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0</w:t>
            </w:r>
          </w:p>
        </w:tc>
      </w:tr>
      <w:tr w:rsidR="001F2A87" w:rsidRPr="00D703E4" w14:paraId="324C9E30" w14:textId="77777777" w:rsidTr="00B01792">
        <w:tc>
          <w:tcPr>
            <w:tcW w:w="817" w:type="dxa"/>
          </w:tcPr>
          <w:p w14:paraId="33205FA2" w14:textId="2DD0B4D5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1F2A87" w:rsidRPr="00F51D5A" w:rsidRDefault="001F2A87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Вывоз ТКО Тариф, руб./куб. м *</w:t>
            </w:r>
          </w:p>
        </w:tc>
        <w:tc>
          <w:tcPr>
            <w:tcW w:w="11906" w:type="dxa"/>
            <w:gridSpan w:val="5"/>
          </w:tcPr>
          <w:p w14:paraId="65817404" w14:textId="0B78FD74" w:rsidR="001F2A87" w:rsidRPr="00F51D5A" w:rsidRDefault="00F51D5A" w:rsidP="001F2A87">
            <w:pPr>
              <w:rPr>
                <w:rFonts w:ascii="Times New Roman" w:hAnsi="Times New Roman" w:cs="Times New Roman"/>
              </w:rPr>
            </w:pPr>
            <w:r w:rsidRPr="00F51D5A">
              <w:rPr>
                <w:rFonts w:ascii="Times New Roman" w:hAnsi="Times New Roman" w:cs="Times New Roman"/>
              </w:rPr>
              <w:t>1000</w:t>
            </w:r>
          </w:p>
        </w:tc>
      </w:tr>
      <w:tr w:rsidR="001F2A87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1F2A87" w:rsidRPr="00134DB2" w:rsidRDefault="001F2A87" w:rsidP="001F2A87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1F2A87" w:rsidRPr="00D703E4" w14:paraId="4CDE8084" w14:textId="77777777" w:rsidTr="00B01792">
        <w:tc>
          <w:tcPr>
            <w:tcW w:w="817" w:type="dxa"/>
          </w:tcPr>
          <w:p w14:paraId="3479BF04" w14:textId="3AB6094D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1F2A87" w:rsidRPr="00BD7D80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0430D1C7" w:rsidR="001F2A87" w:rsidRPr="006D4D14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DBC89C8" w14:textId="77777777" w:rsidTr="00B01792">
        <w:tc>
          <w:tcPr>
            <w:tcW w:w="817" w:type="dxa"/>
          </w:tcPr>
          <w:p w14:paraId="7B992457" w14:textId="748F921B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1F2A87" w:rsidRPr="00BD7D80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5FEC6A26" w:rsidR="001F2A87" w:rsidRPr="006D4D14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AA1DA8E" w14:textId="77777777" w:rsidTr="00B01792">
        <w:tc>
          <w:tcPr>
            <w:tcW w:w="817" w:type="dxa"/>
          </w:tcPr>
          <w:p w14:paraId="0BE5AF2C" w14:textId="42E50C6C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1F2A87" w:rsidRPr="00BD7D80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0BB1301D" w:rsidR="001F2A87" w:rsidRPr="005A30FF" w:rsidRDefault="001F2A87" w:rsidP="00F51D5A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43A9EBE8" w14:textId="77777777" w:rsidTr="00B01792">
        <w:tc>
          <w:tcPr>
            <w:tcW w:w="817" w:type="dxa"/>
          </w:tcPr>
          <w:p w14:paraId="10C0D850" w14:textId="681A5363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278F8920" w:rsidR="001F2A87" w:rsidRPr="005A30FF" w:rsidRDefault="001F2A87" w:rsidP="001F2A87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1F2A87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1F2A87" w:rsidRPr="00134DB2" w:rsidRDefault="001F2A87" w:rsidP="001F2A87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1F2A87" w:rsidRPr="00D703E4" w14:paraId="4FAE5390" w14:textId="77777777" w:rsidTr="00B01792">
        <w:tc>
          <w:tcPr>
            <w:tcW w:w="817" w:type="dxa"/>
          </w:tcPr>
          <w:p w14:paraId="2E038F77" w14:textId="54FDFA18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1F2A87" w:rsidRPr="00196C57" w:rsidRDefault="001F2A87" w:rsidP="001F2A87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1F2A87" w:rsidRPr="00EC6A2C" w:rsidRDefault="001F2A87" w:rsidP="001F2A87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1F2A87" w:rsidRPr="00D703E4" w14:paraId="52D3E48A" w14:textId="77777777" w:rsidTr="00B01792">
        <w:tc>
          <w:tcPr>
            <w:tcW w:w="817" w:type="dxa"/>
          </w:tcPr>
          <w:p w14:paraId="5BE7F2A4" w14:textId="2E705199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1F2A87" w:rsidRPr="00E115E9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1F2A87" w:rsidRPr="00E115E9" w:rsidRDefault="001F2A87" w:rsidP="001F2A8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1F2A87" w:rsidRPr="00E115E9" w:rsidRDefault="001F2A87" w:rsidP="001F2A8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1F2A87" w:rsidRPr="009D657E" w:rsidRDefault="001F2A87" w:rsidP="001F2A87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1F2A87" w:rsidRPr="00D703E4" w14:paraId="2557E6AA" w14:textId="77777777" w:rsidTr="00B01792">
        <w:tc>
          <w:tcPr>
            <w:tcW w:w="817" w:type="dxa"/>
          </w:tcPr>
          <w:p w14:paraId="2D8E7F47" w14:textId="25F71D1F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1F2A87" w:rsidRPr="00D703E4" w14:paraId="0CC6CB63" w14:textId="77777777" w:rsidTr="00B01792">
        <w:tc>
          <w:tcPr>
            <w:tcW w:w="817" w:type="dxa"/>
          </w:tcPr>
          <w:p w14:paraId="57BE2659" w14:textId="1424ED21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1F2A87" w:rsidRPr="00D703E4" w:rsidRDefault="0059715C" w:rsidP="001F2A87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1F2A87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1F2A87" w:rsidRPr="00D703E4" w14:paraId="3E158574" w14:textId="77777777" w:rsidTr="00B01792">
        <w:tc>
          <w:tcPr>
            <w:tcW w:w="817" w:type="dxa"/>
          </w:tcPr>
          <w:p w14:paraId="1B52F192" w14:textId="67A9CDAC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930FBB8" w14:textId="77777777" w:rsidR="00F51D5A" w:rsidRPr="007019ED" w:rsidRDefault="00F51D5A" w:rsidP="00F51D5A">
            <w:pPr>
              <w:rPr>
                <w:rFonts w:ascii="Times New Roman" w:hAnsi="Times New Roman" w:cs="Times New Roman"/>
              </w:rPr>
            </w:pPr>
            <w:r w:rsidRPr="007019ED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5080D324" w:rsidR="001F2A87" w:rsidRPr="00EC6A2C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049467D0" w14:textId="77777777" w:rsidTr="00B01792">
        <w:tc>
          <w:tcPr>
            <w:tcW w:w="817" w:type="dxa"/>
          </w:tcPr>
          <w:p w14:paraId="48D5D194" w14:textId="784432A5" w:rsidR="001F2A87" w:rsidRPr="00F51D5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38BDC18B" w14:textId="77777777" w:rsidR="00F51D5A" w:rsidRDefault="00F51D5A" w:rsidP="00F51D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62B6B0A9" w14:textId="77777777" w:rsidR="00F51D5A" w:rsidRPr="008702BF" w:rsidRDefault="00F51D5A" w:rsidP="00F51D5A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145F1DFA" w:rsidR="001F2A87" w:rsidRPr="00F51D5A" w:rsidRDefault="00F51D5A" w:rsidP="00F51D5A">
            <w:pPr>
              <w:pStyle w:val="af6"/>
              <w:jc w:val="both"/>
              <w:rPr>
                <w:color w:val="auto"/>
                <w:sz w:val="22"/>
                <w:szCs w:val="22"/>
              </w:rPr>
            </w:pPr>
            <w:r w:rsidRPr="008702BF">
              <w:rPr>
                <w:rFonts w:cs="Times New Roman"/>
                <w:sz w:val="22"/>
                <w:szCs w:val="22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1F2A87" w:rsidRPr="00D703E4" w14:paraId="68AFEF4D" w14:textId="77777777" w:rsidTr="00B01792">
        <w:tc>
          <w:tcPr>
            <w:tcW w:w="817" w:type="dxa"/>
          </w:tcPr>
          <w:p w14:paraId="0A922D53" w14:textId="6B57EB1C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1F2A87" w:rsidRPr="00246C96" w:rsidRDefault="001F2A87" w:rsidP="00F51D5A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1F2A87" w:rsidRPr="00D703E4" w14:paraId="69085169" w14:textId="77777777" w:rsidTr="00B01792">
        <w:tc>
          <w:tcPr>
            <w:tcW w:w="817" w:type="dxa"/>
          </w:tcPr>
          <w:p w14:paraId="47EF5918" w14:textId="26E38516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1F2A87" w:rsidRPr="00A105E3" w:rsidRDefault="001F2A87" w:rsidP="001F2A87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180434D3" w:rsidR="001F2A87" w:rsidRPr="00E937DD" w:rsidRDefault="001F2A87" w:rsidP="001F2A87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1F2A87" w:rsidRPr="00D703E4" w14:paraId="04A2A2FC" w14:textId="77777777" w:rsidTr="00B01792">
        <w:tc>
          <w:tcPr>
            <w:tcW w:w="817" w:type="dxa"/>
          </w:tcPr>
          <w:p w14:paraId="3FF801CF" w14:textId="017576D6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746B41E4" w:rsidR="001F2A87" w:rsidRPr="004A22CF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7DDF8F3C" w14:textId="77777777" w:rsidTr="00B01792">
        <w:tc>
          <w:tcPr>
            <w:tcW w:w="817" w:type="dxa"/>
          </w:tcPr>
          <w:p w14:paraId="5E7CC964" w14:textId="125C9B0E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2E664375" w14:textId="77777777" w:rsidR="00CC3480" w:rsidRDefault="00CC3480" w:rsidP="00CC3480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2436A185" w14:textId="77777777" w:rsidR="00CC3480" w:rsidRDefault="00CC3480" w:rsidP="00CC3480">
            <w:pPr>
              <w:rPr>
                <w:rFonts w:ascii="Times New Roman" w:hAnsi="Times New Roman" w:cs="Times New Roman"/>
              </w:rPr>
            </w:pPr>
          </w:p>
          <w:p w14:paraId="7971A986" w14:textId="77777777" w:rsidR="001F2A87" w:rsidRDefault="001F2A87" w:rsidP="001F2A87">
            <w:pPr>
              <w:rPr>
                <w:rFonts w:ascii="Times New Roman" w:hAnsi="Times New Roman" w:cs="Times New Roman"/>
              </w:rPr>
            </w:pPr>
          </w:p>
          <w:p w14:paraId="61972126" w14:textId="51CBAD5B" w:rsidR="001F2A87" w:rsidRPr="004A22CF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29EFC752" w14:textId="77777777" w:rsidTr="00B01792">
        <w:tc>
          <w:tcPr>
            <w:tcW w:w="817" w:type="dxa"/>
          </w:tcPr>
          <w:p w14:paraId="5D3EDEA4" w14:textId="05B51B1E" w:rsidR="001F2A87" w:rsidRPr="00FF7A9A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1F2A87" w:rsidRPr="00D703E4" w:rsidRDefault="001F2A87" w:rsidP="001F2A8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DC65AB2" w:rsidR="001F2A87" w:rsidRPr="004A22CF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  <w:tr w:rsidR="001F2A87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1F2A87" w:rsidRPr="00134DB2" w:rsidRDefault="001F2A87" w:rsidP="001F2A87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1F2A87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1F2A87" w:rsidRPr="00683DD5" w:rsidRDefault="001F2A87" w:rsidP="001F2A87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5CEA611" w:rsidR="001F2A87" w:rsidRPr="00051BFD" w:rsidRDefault="00F51D5A" w:rsidP="001F2A87">
            <w:pPr>
              <w:rPr>
                <w:rFonts w:ascii="Times New Roman" w:hAnsi="Times New Roman" w:cs="Times New Roman"/>
                <w:i/>
              </w:rPr>
            </w:pPr>
            <w:r w:rsidRPr="00B265CA">
              <w:rPr>
                <w:rFonts w:ascii="Times New Roman" w:hAnsi="Times New Roman" w:cs="Times New Roman"/>
              </w:rPr>
              <w:t>53.663313</w:t>
            </w:r>
          </w:p>
        </w:tc>
      </w:tr>
      <w:tr w:rsidR="001F2A87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1F2A87" w:rsidRPr="00134DB2" w:rsidRDefault="001F2A87" w:rsidP="001F2A8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1F2A87" w:rsidRPr="00E115E9" w:rsidRDefault="001F2A87" w:rsidP="001F2A8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AE8D83E" w14:textId="77777777" w:rsidR="00F51D5A" w:rsidRPr="00B265CA" w:rsidRDefault="00F51D5A" w:rsidP="00F51D5A">
            <w:pPr>
              <w:rPr>
                <w:rFonts w:ascii="Times New Roman" w:hAnsi="Times New Roman" w:cs="Times New Roman"/>
              </w:rPr>
            </w:pPr>
            <w:r w:rsidRPr="00B265CA">
              <w:rPr>
                <w:rFonts w:ascii="Times New Roman" w:hAnsi="Times New Roman" w:cs="Times New Roman"/>
              </w:rPr>
              <w:t>40.151182</w:t>
            </w:r>
          </w:p>
          <w:p w14:paraId="146ADF1D" w14:textId="57AD3576" w:rsidR="001F2A87" w:rsidRDefault="001F2A87" w:rsidP="001F2A87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41BC9D56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1F2A87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64EA4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9715C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CC3480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DF4F1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1D5A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F51D5A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F51D5A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6</cp:revision>
  <cp:lastPrinted>2025-05-20T07:44:00Z</cp:lastPrinted>
  <dcterms:created xsi:type="dcterms:W3CDTF">2026-02-06T13:58:00Z</dcterms:created>
  <dcterms:modified xsi:type="dcterms:W3CDTF">2026-05-07T11:39:00Z</dcterms:modified>
</cp:coreProperties>
</file>