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E649A5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E649A5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E649A5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792E81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Производственная площадка р.п. Кадом</w:t>
            </w: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7079F0" w:rsidRDefault="005E46E7" w:rsidP="007079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92E81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92E81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7079F0" w:rsidRDefault="005E46E7" w:rsidP="007079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E649A5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7079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Кадомский муниципальный округ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Рязанская область, р.п. Кадом, ул. Каширина, д.2</w:t>
            </w:r>
          </w:p>
        </w:tc>
      </w:tr>
      <w:tr w:rsidR="00D122F8" w:rsidRPr="00D703E4" w:rsidTr="00E649A5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7079F0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Сасово (60 км)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649A5" w:rsidRPr="00E2548C" w:rsidRDefault="00E649A5" w:rsidP="007C781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:rsidR="00E649A5" w:rsidRDefault="00E649A5" w:rsidP="007C781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Здания и сооружения</w:t>
            </w:r>
          </w:p>
          <w:p w:rsidR="00E649A5" w:rsidRPr="00D703E4" w:rsidRDefault="00E649A5" w:rsidP="00E649A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:rsidTr="00E649A5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E649A5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7079F0" w:rsidRDefault="0094653F" w:rsidP="007079F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:rsidTr="00E649A5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7079F0" w:rsidRPr="00D703E4" w:rsidTr="00E649A5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079F0" w:rsidRPr="00D703E4" w:rsidRDefault="00E649A5" w:rsidP="007C781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7079F0" w:rsidRPr="00D703E4" w:rsidTr="00E649A5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079F0" w:rsidRPr="00D703E4" w:rsidRDefault="007079F0" w:rsidP="007C781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7079F0" w:rsidRPr="00D703E4" w:rsidTr="00E649A5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079F0" w:rsidRPr="00D703E4" w:rsidRDefault="007079F0" w:rsidP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</w:t>
            </w:r>
            <w:r>
              <w:rPr>
                <w:rFonts w:ascii="Times New Roman" w:hAnsi="Times New Roman" w:cs="Times New Roman"/>
              </w:rPr>
              <w:t>)</w:t>
            </w:r>
            <w:r w:rsidRPr="00E115E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7079F0" w:rsidRPr="00D703E4" w:rsidRDefault="00E649A5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23329,25</w:t>
            </w:r>
          </w:p>
        </w:tc>
      </w:tr>
      <w:tr w:rsidR="00D775B4" w:rsidRPr="00D703E4" w:rsidTr="00E649A5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E649A5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E649A5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E649A5">
        <w:tc>
          <w:tcPr>
            <w:tcW w:w="817" w:type="dxa"/>
          </w:tcPr>
          <w:p w:rsidR="00D775B4" w:rsidRPr="00435FB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E115E9" w:rsidRDefault="007079F0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Кадастровая</w:t>
            </w:r>
          </w:p>
          <w:p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9F0" w:rsidRPr="00D703E4" w:rsidTr="00E649A5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7079F0" w:rsidRPr="00D703E4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7079F0" w:rsidRPr="00D703E4" w:rsidTr="00E649A5">
        <w:tc>
          <w:tcPr>
            <w:tcW w:w="817" w:type="dxa"/>
          </w:tcPr>
          <w:p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7079F0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Четыре производственных здания, одно здание под офис</w:t>
            </w:r>
          </w:p>
        </w:tc>
      </w:tr>
      <w:tr w:rsidR="005E46E7" w:rsidRPr="00D703E4" w:rsidTr="00E649A5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11,1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62:03:0040609:57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E649A5" w:rsidRPr="00712D3A" w:rsidRDefault="00E649A5" w:rsidP="007C78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649A5" w:rsidRPr="00712D3A" w:rsidRDefault="00E649A5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E649A5" w:rsidRPr="00BE44BF" w:rsidRDefault="00E649A5" w:rsidP="007C78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:rsidTr="00E649A5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1077,7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FF7A9A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9952B2" w:rsidRDefault="00E64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62:03:0040609:39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FF7A9A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49A5" w:rsidRPr="009952B2" w:rsidRDefault="00E64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68 м, количество этажей – 1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pStyle w:val="a7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552" w:type="dxa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946,9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FF7A9A" w:rsidRDefault="00E649A5" w:rsidP="00E649A5">
            <w:pPr>
              <w:pStyle w:val="a7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62:03:0040609:200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 w:rsidRPr="00E649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50 м, количество этажей – 1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291,2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62:03:0040609:38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2,7 м, система электроснабжения, вентиляции, теплоснабжения отсутствует, помещение под офис, количество этажей – 2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2" w:type="dxa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54 м, количество этажей – 1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2" w:type="dxa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649A5" w:rsidRPr="00D703E4" w:rsidTr="00E649A5">
        <w:tc>
          <w:tcPr>
            <w:tcW w:w="817" w:type="dxa"/>
          </w:tcPr>
          <w:p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2" w:type="dxa"/>
          </w:tcPr>
          <w:p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33 м, количество этажей – 1</w:t>
            </w:r>
          </w:p>
        </w:tc>
      </w:tr>
      <w:tr w:rsidR="00234892" w:rsidRPr="00D703E4" w:rsidTr="00E649A5">
        <w:tc>
          <w:tcPr>
            <w:tcW w:w="817" w:type="dxa"/>
          </w:tcPr>
          <w:p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31450F"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i/>
                <w:iCs/>
              </w:rPr>
              <w:t>Кадомского муниципального округа</w:t>
            </w:r>
            <w:r w:rsidRPr="0031450F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234892" w:rsidRPr="00D703E4" w:rsidTr="00E649A5">
        <w:tc>
          <w:tcPr>
            <w:tcW w:w="817" w:type="dxa"/>
          </w:tcPr>
          <w:p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rPr>
                <w:rFonts w:ascii="Times New Roman" w:hAnsi="Times New Roman" w:cs="Times New Roman"/>
                <w:i/>
              </w:rPr>
            </w:pPr>
            <w:r w:rsidRPr="0031450F">
              <w:rPr>
                <w:rFonts w:ascii="Times New Roman" w:hAnsi="Times New Roman" w:cs="Times New Roman"/>
                <w:i/>
              </w:rPr>
              <w:t>620</w:t>
            </w:r>
            <w:r>
              <w:rPr>
                <w:rFonts w:ascii="Times New Roman" w:hAnsi="Times New Roman" w:cs="Times New Roman"/>
                <w:i/>
              </w:rPr>
              <w:t>0018630</w:t>
            </w:r>
          </w:p>
        </w:tc>
      </w:tr>
      <w:tr w:rsidR="00234892" w:rsidRPr="00D703E4" w:rsidTr="00E649A5">
        <w:tc>
          <w:tcPr>
            <w:tcW w:w="817" w:type="dxa"/>
          </w:tcPr>
          <w:p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Начальник отдела земельных и имущественных отношений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и строительства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администрации Кадомск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муниципальн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округа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Рязанской области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Шибанов Владимир Васильевич</w:t>
            </w:r>
          </w:p>
        </w:tc>
      </w:tr>
      <w:tr w:rsidR="00234892" w:rsidRPr="00D703E4" w:rsidTr="00E649A5">
        <w:tc>
          <w:tcPr>
            <w:tcW w:w="817" w:type="dxa"/>
          </w:tcPr>
          <w:p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2" w:type="dxa"/>
          </w:tcPr>
          <w:p w:rsidR="00234892" w:rsidRPr="00D703E4" w:rsidRDefault="0023489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2"/>
                <w:lang w:eastAsia="en-US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Тел.8-49139-5-14-10</w:t>
            </w:r>
          </w:p>
          <w:p w:rsidR="00234892" w:rsidRPr="00AE565E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1450F">
              <w:rPr>
                <w:rFonts w:ascii="Times New Roman" w:hAnsi="Times New Roman" w:cs="Times New Roman"/>
                <w:i/>
              </w:rPr>
              <w:t>Эл</w:t>
            </w:r>
            <w:proofErr w:type="gramStart"/>
            <w:r w:rsidRPr="0031450F">
              <w:rPr>
                <w:rFonts w:ascii="Times New Roman" w:hAnsi="Times New Roman" w:cs="Times New Roman"/>
                <w:i/>
              </w:rPr>
              <w:t>.п</w:t>
            </w:r>
            <w:proofErr w:type="gramEnd"/>
            <w:r w:rsidRPr="0031450F">
              <w:rPr>
                <w:rFonts w:ascii="Times New Roman" w:hAnsi="Times New Roman" w:cs="Times New Roman"/>
                <w:i/>
              </w:rPr>
              <w:t>очта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::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kumi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kadom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@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ryazan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gov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ru</w:t>
            </w:r>
            <w:proofErr w:type="spellEnd"/>
          </w:p>
        </w:tc>
      </w:tr>
      <w:tr w:rsidR="00234892" w:rsidRPr="00D703E4" w:rsidTr="00E649A5">
        <w:tc>
          <w:tcPr>
            <w:tcW w:w="817" w:type="dxa"/>
          </w:tcPr>
          <w:p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2" w:type="dxa"/>
          </w:tcPr>
          <w:p w:rsidR="00234892" w:rsidRPr="00D703E4" w:rsidRDefault="0023489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234892" w:rsidRPr="00957F03" w:rsidRDefault="00234892" w:rsidP="007C781C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844C01">
              <w:rPr>
                <w:rFonts w:ascii="Times New Roman" w:hAnsi="Times New Roman" w:cs="Times New Roman"/>
                <w:i/>
                <w:iCs/>
              </w:rPr>
              <w:t>https://kadom.ryazan.gov.ru</w:t>
            </w:r>
            <w:r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FF5CC2" w:rsidRPr="00D703E4" w:rsidTr="00E649A5">
        <w:tc>
          <w:tcPr>
            <w:tcW w:w="817" w:type="dxa"/>
          </w:tcPr>
          <w:p w:rsidR="00FF5CC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E649A5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4892" w:rsidRPr="00D703E4" w:rsidTr="00E649A5">
        <w:trPr>
          <w:trHeight w:val="841"/>
        </w:trPr>
        <w:tc>
          <w:tcPr>
            <w:tcW w:w="817" w:type="dxa"/>
            <w:vMerge w:val="restart"/>
          </w:tcPr>
          <w:p w:rsidR="00234892" w:rsidRPr="00134DB2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«Возможно создание»</w:t>
            </w:r>
          </w:p>
        </w:tc>
        <w:tc>
          <w:tcPr>
            <w:tcW w:w="2988" w:type="dxa"/>
            <w:gridSpan w:val="2"/>
          </w:tcPr>
          <w:p w:rsidR="00234892" w:rsidRPr="00234892" w:rsidRDefault="00234892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234892" w:rsidRPr="00234892" w:rsidRDefault="00234892" w:rsidP="00435FBB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49</w:t>
            </w:r>
            <w:r w:rsidR="00435FBB">
              <w:rPr>
                <w:rFonts w:ascii="Times New Roman" w:hAnsi="Times New Roman" w:cs="Times New Roman"/>
                <w:i/>
                <w:iCs/>
              </w:rPr>
              <w:t>.</w:t>
            </w:r>
            <w:r w:rsidRPr="00234892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234892" w:rsidRPr="00D703E4" w:rsidTr="00E649A5">
        <w:trPr>
          <w:trHeight w:val="381"/>
        </w:trPr>
        <w:tc>
          <w:tcPr>
            <w:tcW w:w="817" w:type="dxa"/>
            <w:vMerge/>
          </w:tcPr>
          <w:p w:rsidR="00234892" w:rsidRPr="00134DB2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м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</w:p>
        </w:tc>
        <w:tc>
          <w:tcPr>
            <w:tcW w:w="5514" w:type="dxa"/>
          </w:tcPr>
          <w:p w:rsidR="00234892" w:rsidRPr="00D703E4" w:rsidRDefault="00435FBB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5000</w:t>
            </w:r>
          </w:p>
        </w:tc>
      </w:tr>
      <w:tr w:rsidR="00234892" w:rsidRPr="00D703E4" w:rsidTr="00E649A5">
        <w:trPr>
          <w:trHeight w:val="381"/>
        </w:trPr>
        <w:tc>
          <w:tcPr>
            <w:tcW w:w="817" w:type="dxa"/>
            <w:vMerge/>
          </w:tcPr>
          <w:p w:rsidR="00234892" w:rsidRPr="00134DB2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:rsidR="00234892" w:rsidRPr="00FF1DDD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Собственная артезианская скважина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затампонирована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234892" w:rsidRPr="00D703E4" w:rsidTr="00E649A5">
        <w:trPr>
          <w:trHeight w:val="561"/>
        </w:trPr>
        <w:tc>
          <w:tcPr>
            <w:tcW w:w="817" w:type="dxa"/>
          </w:tcPr>
          <w:p w:rsidR="00234892" w:rsidRPr="00FF7A9A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Нет</w:t>
            </w:r>
          </w:p>
          <w:p w:rsidR="00234892" w:rsidRPr="00234892" w:rsidRDefault="00234892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«Нет»</w:t>
            </w:r>
          </w:p>
          <w:p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</w:t>
            </w:r>
            <w:proofErr w:type="gramStart"/>
            <w:r w:rsidRPr="00234892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234892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 отсутствуют</w:t>
            </w:r>
          </w:p>
        </w:tc>
      </w:tr>
      <w:tr w:rsidR="00711F66" w:rsidRPr="00D703E4" w:rsidTr="00E649A5">
        <w:trPr>
          <w:trHeight w:val="2121"/>
        </w:trPr>
        <w:tc>
          <w:tcPr>
            <w:tcW w:w="817" w:type="dxa"/>
          </w:tcPr>
          <w:p w:rsidR="00711F66" w:rsidRPr="00134DB2" w:rsidRDefault="00711F6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711F66" w:rsidRPr="00D703E4" w:rsidRDefault="00711F6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:rsidR="00711F66" w:rsidRPr="00711F66" w:rsidRDefault="00711F66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11F66">
              <w:rPr>
                <w:rFonts w:ascii="Times New Roman" w:hAnsi="Times New Roman" w:cs="Times New Roman"/>
                <w:i/>
              </w:rPr>
              <w:t>Нет</w:t>
            </w:r>
          </w:p>
          <w:p w:rsidR="00711F66" w:rsidRPr="00711F66" w:rsidRDefault="00711F66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1F6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711F66" w:rsidRPr="00711F66" w:rsidRDefault="00711F66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11F66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711F66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711F66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711F66" w:rsidRPr="00256E19" w:rsidRDefault="00711F66" w:rsidP="00713254">
            <w:pPr>
              <w:rPr>
                <w:rFonts w:ascii="Times New Roman" w:hAnsi="Times New Roman" w:cs="Times New Roman"/>
                <w:iCs/>
              </w:rPr>
            </w:pPr>
            <w:r w:rsidRPr="00FF1DDD">
              <w:rPr>
                <w:rFonts w:ascii="Times New Roman" w:hAnsi="Times New Roman" w:cs="Times New Roman"/>
                <w:i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(тех приз)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7F396E" w:rsidRPr="00D703E4" w:rsidTr="00E649A5">
        <w:trPr>
          <w:trHeight w:val="562"/>
        </w:trPr>
        <w:tc>
          <w:tcPr>
            <w:tcW w:w="817" w:type="dxa"/>
            <w:vMerge w:val="restart"/>
          </w:tcPr>
          <w:p w:rsidR="007F396E" w:rsidRPr="00711F66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7F396E" w:rsidRPr="007F396E" w:rsidRDefault="007F396E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:rsidR="007F396E" w:rsidRPr="007F396E" w:rsidRDefault="007F396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7F396E" w:rsidRPr="007F396E" w:rsidRDefault="007F396E" w:rsidP="00435FBB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12680</w:t>
            </w:r>
            <w:r w:rsidR="00435FBB">
              <w:rPr>
                <w:rFonts w:ascii="Times New Roman" w:hAnsi="Times New Roman" w:cs="Times New Roman"/>
                <w:i/>
                <w:iCs/>
              </w:rPr>
              <w:t>.</w:t>
            </w:r>
            <w:r w:rsidRPr="007F396E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7F396E" w:rsidRPr="00D703E4" w:rsidTr="00E649A5">
        <w:tc>
          <w:tcPr>
            <w:tcW w:w="817" w:type="dxa"/>
            <w:vMerge/>
          </w:tcPr>
          <w:p w:rsidR="007F396E" w:rsidRPr="00134DB2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 xml:space="preserve">Объекты электроснабжения Максимально допустимая </w:t>
            </w: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мощность, МВт/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7F396E" w:rsidRPr="007F396E" w:rsidRDefault="007F396E" w:rsidP="007C619C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5</w:t>
            </w:r>
          </w:p>
        </w:tc>
      </w:tr>
      <w:tr w:rsidR="007F396E" w:rsidRPr="00D703E4" w:rsidTr="00E649A5">
        <w:tc>
          <w:tcPr>
            <w:tcW w:w="817" w:type="dxa"/>
            <w:vMerge/>
          </w:tcPr>
          <w:p w:rsidR="007F396E" w:rsidRPr="00134DB2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7F396E" w:rsidRPr="007F396E" w:rsidRDefault="007F396E" w:rsidP="00BF27A5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 xml:space="preserve">На расстоянии </w:t>
            </w:r>
            <w:r w:rsidR="00BF27A5">
              <w:rPr>
                <w:rFonts w:ascii="Times New Roman" w:hAnsi="Times New Roman" w:cs="Times New Roman"/>
                <w:i/>
              </w:rPr>
              <w:t>0,</w:t>
            </w:r>
            <w:r w:rsidRPr="007F396E">
              <w:rPr>
                <w:rFonts w:ascii="Times New Roman" w:hAnsi="Times New Roman" w:cs="Times New Roman"/>
                <w:i/>
              </w:rPr>
              <w:t>1 км проход</w:t>
            </w:r>
            <w:r w:rsidR="00BF27A5">
              <w:rPr>
                <w:rFonts w:ascii="Times New Roman" w:hAnsi="Times New Roman" w:cs="Times New Roman"/>
                <w:i/>
              </w:rPr>
              <w:t>и</w:t>
            </w:r>
            <w:r w:rsidRPr="007F396E">
              <w:rPr>
                <w:rFonts w:ascii="Times New Roman" w:hAnsi="Times New Roman" w:cs="Times New Roman"/>
                <w:i/>
              </w:rPr>
              <w:t xml:space="preserve">т </w:t>
            </w:r>
            <w:proofErr w:type="gramStart"/>
            <w:r w:rsidRPr="007F396E">
              <w:rPr>
                <w:rFonts w:ascii="Times New Roman" w:hAnsi="Times New Roman" w:cs="Times New Roman"/>
                <w:i/>
              </w:rPr>
              <w:t>ВЛ</w:t>
            </w:r>
            <w:proofErr w:type="gramEnd"/>
            <w:r w:rsidRPr="007F396E">
              <w:rPr>
                <w:rFonts w:ascii="Times New Roman" w:hAnsi="Times New Roman" w:cs="Times New Roman"/>
                <w:i/>
              </w:rPr>
              <w:t xml:space="preserve"> - 35квт</w:t>
            </w:r>
          </w:p>
        </w:tc>
      </w:tr>
      <w:tr w:rsidR="007F396E" w:rsidRPr="00D703E4" w:rsidTr="00E649A5">
        <w:trPr>
          <w:trHeight w:val="520"/>
        </w:trPr>
        <w:tc>
          <w:tcPr>
            <w:tcW w:w="817" w:type="dxa"/>
          </w:tcPr>
          <w:p w:rsidR="007F396E" w:rsidRPr="007F396E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:rsidR="007F396E" w:rsidRPr="007F396E" w:rsidRDefault="007F396E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F396E">
              <w:rPr>
                <w:rFonts w:ascii="Times New Roman" w:hAnsi="Times New Roman" w:cs="Times New Roman"/>
                <w:i/>
              </w:rPr>
              <w:t>Нет</w:t>
            </w:r>
          </w:p>
          <w:p w:rsidR="007F396E" w:rsidRPr="007F396E" w:rsidRDefault="007F396E" w:rsidP="007F396E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 отсутствуют</w:t>
            </w:r>
          </w:p>
        </w:tc>
      </w:tr>
      <w:tr w:rsidR="005E46E7" w:rsidRPr="00D703E4" w:rsidTr="00E649A5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E649A5">
        <w:tc>
          <w:tcPr>
            <w:tcW w:w="817" w:type="dxa"/>
          </w:tcPr>
          <w:p w:rsidR="005A30FF" w:rsidRPr="00134DB2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E649A5">
        <w:tc>
          <w:tcPr>
            <w:tcW w:w="817" w:type="dxa"/>
          </w:tcPr>
          <w:p w:rsidR="005E46E7" w:rsidRPr="00134DB2" w:rsidRDefault="005E46E7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E649A5">
        <w:tc>
          <w:tcPr>
            <w:tcW w:w="817" w:type="dxa"/>
          </w:tcPr>
          <w:p w:rsidR="005E46E7" w:rsidRPr="00435FBB" w:rsidRDefault="005E46E7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7F396E" w:rsidP="00435FB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</w:t>
            </w:r>
            <w:r w:rsidR="00435FBB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94</w:t>
            </w:r>
          </w:p>
        </w:tc>
      </w:tr>
      <w:tr w:rsidR="005E46E7" w:rsidRPr="00D703E4" w:rsidTr="00E649A5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7F396E" w:rsidRDefault="00BF27A5" w:rsidP="00BF27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:rsidTr="00E649A5">
        <w:tc>
          <w:tcPr>
            <w:tcW w:w="817" w:type="dxa"/>
          </w:tcPr>
          <w:p w:rsidR="005A30FF" w:rsidRPr="00134DB2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E649A5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0237F9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E649A5">
        <w:tc>
          <w:tcPr>
            <w:tcW w:w="817" w:type="dxa"/>
          </w:tcPr>
          <w:p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E649A5">
        <w:tc>
          <w:tcPr>
            <w:tcW w:w="817" w:type="dxa"/>
          </w:tcPr>
          <w:p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7F396E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E649A5">
        <w:tc>
          <w:tcPr>
            <w:tcW w:w="817" w:type="dxa"/>
          </w:tcPr>
          <w:p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E649A5">
        <w:tc>
          <w:tcPr>
            <w:tcW w:w="817" w:type="dxa"/>
          </w:tcPr>
          <w:p w:rsidR="005A30FF" w:rsidRPr="00FF7A9A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:rsidTr="00E649A5">
        <w:tc>
          <w:tcPr>
            <w:tcW w:w="817" w:type="dxa"/>
          </w:tcPr>
          <w:p w:rsidR="005A30FF" w:rsidRPr="00134DB2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5A30FF" w:rsidRPr="00D703E4" w:rsidTr="00E649A5">
        <w:tc>
          <w:tcPr>
            <w:tcW w:w="817" w:type="dxa"/>
          </w:tcPr>
          <w:p w:rsidR="005A30FF" w:rsidRPr="00FF7A9A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Иные документы по инвестплощадке, в т.ч. схемы зданий и помещений, техническая документация, презентационные материалы</w:t>
            </w:r>
          </w:p>
        </w:tc>
      </w:tr>
      <w:tr w:rsidR="00246C96" w:rsidRPr="00D703E4" w:rsidTr="00E649A5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BF27A5" w:rsidRPr="00E115E9" w:rsidTr="00E649A5">
        <w:trPr>
          <w:trHeight w:val="845"/>
        </w:trPr>
        <w:tc>
          <w:tcPr>
            <w:tcW w:w="817" w:type="dxa"/>
          </w:tcPr>
          <w:p w:rsidR="00BF27A5" w:rsidRPr="00134DB2" w:rsidRDefault="00BF27A5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BF27A5" w:rsidRPr="00683DD5" w:rsidRDefault="00BF27A5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BF27A5" w:rsidRPr="00435FBB" w:rsidRDefault="00BF27A5" w:rsidP="007C781C">
            <w:pPr>
              <w:rPr>
                <w:rFonts w:ascii="Times New Roman" w:hAnsi="Times New Roman" w:cs="Times New Roman"/>
              </w:rPr>
            </w:pPr>
            <w:r w:rsidRPr="00435FBB">
              <w:rPr>
                <w:rFonts w:ascii="Times New Roman" w:hAnsi="Times New Roman" w:cs="Times New Roman"/>
                <w:bCs/>
              </w:rPr>
              <w:t>54.561245</w:t>
            </w:r>
          </w:p>
        </w:tc>
      </w:tr>
      <w:tr w:rsidR="00BF27A5" w:rsidRPr="00E115E9" w:rsidTr="00E649A5">
        <w:trPr>
          <w:trHeight w:val="843"/>
        </w:trPr>
        <w:tc>
          <w:tcPr>
            <w:tcW w:w="817" w:type="dxa"/>
          </w:tcPr>
          <w:p w:rsidR="00BF27A5" w:rsidRPr="00134DB2" w:rsidRDefault="00BF27A5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BF27A5" w:rsidRPr="00E115E9" w:rsidRDefault="00BF27A5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BF27A5" w:rsidRPr="00435FBB" w:rsidRDefault="00BF27A5" w:rsidP="007C781C">
            <w:pPr>
              <w:rPr>
                <w:rFonts w:ascii="Times New Roman" w:hAnsi="Times New Roman" w:cs="Times New Roman"/>
              </w:rPr>
            </w:pPr>
            <w:r w:rsidRPr="00435FBB">
              <w:rPr>
                <w:rFonts w:ascii="Times New Roman" w:hAnsi="Times New Roman" w:cs="Times New Roman"/>
                <w:bCs/>
              </w:rPr>
              <w:t>42.474381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C7E54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E0175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15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47AAA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1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7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18"/>
  </w:num>
  <w:num w:numId="5">
    <w:abstractNumId w:val="1"/>
  </w:num>
  <w:num w:numId="6">
    <w:abstractNumId w:val="21"/>
  </w:num>
  <w:num w:numId="7">
    <w:abstractNumId w:val="13"/>
  </w:num>
  <w:num w:numId="8">
    <w:abstractNumId w:val="17"/>
  </w:num>
  <w:num w:numId="9">
    <w:abstractNumId w:val="6"/>
  </w:num>
  <w:num w:numId="10">
    <w:abstractNumId w:val="28"/>
  </w:num>
  <w:num w:numId="11">
    <w:abstractNumId w:val="11"/>
  </w:num>
  <w:num w:numId="12">
    <w:abstractNumId w:val="27"/>
  </w:num>
  <w:num w:numId="13">
    <w:abstractNumId w:val="22"/>
  </w:num>
  <w:num w:numId="14">
    <w:abstractNumId w:val="14"/>
  </w:num>
  <w:num w:numId="15">
    <w:abstractNumId w:val="16"/>
  </w:num>
  <w:num w:numId="16">
    <w:abstractNumId w:val="4"/>
  </w:num>
  <w:num w:numId="17">
    <w:abstractNumId w:val="3"/>
  </w:num>
  <w:num w:numId="18">
    <w:abstractNumId w:val="23"/>
  </w:num>
  <w:num w:numId="19">
    <w:abstractNumId w:val="20"/>
  </w:num>
  <w:num w:numId="20">
    <w:abstractNumId w:val="26"/>
  </w:num>
  <w:num w:numId="21">
    <w:abstractNumId w:val="7"/>
  </w:num>
  <w:num w:numId="22">
    <w:abstractNumId w:val="15"/>
  </w:num>
  <w:num w:numId="23">
    <w:abstractNumId w:val="5"/>
  </w:num>
  <w:num w:numId="24">
    <w:abstractNumId w:val="24"/>
  </w:num>
  <w:num w:numId="25">
    <w:abstractNumId w:val="19"/>
  </w:num>
  <w:num w:numId="26">
    <w:abstractNumId w:val="10"/>
  </w:num>
  <w:num w:numId="27">
    <w:abstractNumId w:val="9"/>
  </w:num>
  <w:num w:numId="28">
    <w:abstractNumId w:val="2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507"/>
    <w:rsid w:val="000237F9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4892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A75BD"/>
    <w:rsid w:val="003C5377"/>
    <w:rsid w:val="00435FBB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D22CF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079F0"/>
    <w:rsid w:val="00711F66"/>
    <w:rsid w:val="00712D3A"/>
    <w:rsid w:val="00713254"/>
    <w:rsid w:val="00792E81"/>
    <w:rsid w:val="007A3E31"/>
    <w:rsid w:val="007C619C"/>
    <w:rsid w:val="007D724D"/>
    <w:rsid w:val="007E4796"/>
    <w:rsid w:val="007F396E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445B7"/>
    <w:rsid w:val="00B64AAC"/>
    <w:rsid w:val="00B80DD5"/>
    <w:rsid w:val="00B82498"/>
    <w:rsid w:val="00B93815"/>
    <w:rsid w:val="00BC7BC4"/>
    <w:rsid w:val="00BE44BF"/>
    <w:rsid w:val="00BF27A5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649A5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Cell">
    <w:name w:val="ConsPlusCell"/>
    <w:rsid w:val="00707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rsid w:val="002348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2026-02-11T11:14:00Z</dcterms:created>
  <dcterms:modified xsi:type="dcterms:W3CDTF">2026-02-12T13:41:00Z</dcterms:modified>
</cp:coreProperties>
</file>